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Об отложенном выходе на пенсию</w:t>
      </w:r>
    </w:p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Если Вы:</w:t>
      </w:r>
    </w:p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proofErr w:type="gramStart"/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достигли общеустановленного пенсионного возраста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и Вам назначается</w:t>
      </w:r>
      <w:proofErr w:type="gramEnd"/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 xml:space="preserve"> (или уже назначена)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val="ru-RU" w:eastAsia="ru-RU" w:bidi="ar-SA"/>
        </w:rPr>
        <w:t>пенсия по возрасту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(при общем стаже 20 и более лет для женщин, 25 и более лет для мужчин),</w:t>
      </w:r>
    </w:p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то</w:t>
      </w:r>
    </w:p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при продолжении работы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val="ru-RU" w:eastAsia="ru-RU" w:bidi="ar-SA"/>
        </w:rPr>
        <w:t>без получения пенсии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 Вы можете дополнительно увеличить её размер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.</w:t>
      </w:r>
    </w:p>
    <w:p w:rsidR="004F0348" w:rsidRPr="004F0348" w:rsidRDefault="004F0348" w:rsidP="004F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shd w:val="clear" w:color="auto" w:fill="FFFFFF"/>
          <w:lang w:val="ru-RU" w:eastAsia="ru-RU" w:bidi="ar-SA"/>
        </w:rPr>
        <w:t> </w:t>
      </w:r>
    </w:p>
    <w:tbl>
      <w:tblPr>
        <w:tblW w:w="3750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</w:tblGrid>
      <w:tr w:rsidR="004F0348" w:rsidRPr="004F0348" w:rsidTr="004F03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Общеустановленный пенсионный возраст для  женщин составляет </w:t>
            </w:r>
            <w:r w:rsidRPr="004F0348">
              <w:rPr>
                <w:rFonts w:ascii="inherit" w:eastAsia="Times New Roman" w:hAnsi="inherit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58 лет,  для мужчин —  63 года</w:t>
            </w:r>
          </w:p>
        </w:tc>
      </w:tr>
    </w:tbl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Для этого:</w:t>
      </w:r>
    </w:p>
    <w:p w:rsidR="004F0348" w:rsidRPr="004F0348" w:rsidRDefault="004F0348" w:rsidP="004F0348">
      <w:pPr>
        <w:numPr>
          <w:ilvl w:val="0"/>
          <w:numId w:val="1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откажитесь от получения пенсии не менее чем на 2 месяца (подайте соответствующее заявление в управление по труду, занятости и социальной защите);</w:t>
      </w:r>
    </w:p>
    <w:p w:rsidR="004F0348" w:rsidRPr="004F0348" w:rsidRDefault="004F0348" w:rsidP="004F0348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</w:t>
      </w:r>
    </w:p>
    <w:p w:rsidR="004F0348" w:rsidRPr="004F0348" w:rsidRDefault="004F0348" w:rsidP="004F0348">
      <w:pPr>
        <w:numPr>
          <w:ilvl w:val="0"/>
          <w:numId w:val="2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продолжайте работать с заработной платой не ниже минимальной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br/>
        <w:t>(без получения пенсии);</w:t>
      </w:r>
    </w:p>
    <w:p w:rsidR="004F0348" w:rsidRPr="004F0348" w:rsidRDefault="004F0348" w:rsidP="004F0348">
      <w:pPr>
        <w:spacing w:after="0" w:line="240" w:lineRule="auto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</w:t>
      </w:r>
    </w:p>
    <w:p w:rsidR="004F0348" w:rsidRPr="004F0348" w:rsidRDefault="004F0348" w:rsidP="004F0348">
      <w:pPr>
        <w:numPr>
          <w:ilvl w:val="0"/>
          <w:numId w:val="3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по завершении выбранного периода работы без получения пенсии обратитесь за возобновлением выплаты пенс</w:t>
      </w:r>
      <w:proofErr w:type="gramStart"/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ии и её</w:t>
      </w:r>
      <w:proofErr w:type="gramEnd"/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 xml:space="preserve"> перерасчетом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с учетом премии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(подайте соответствующие заявления в управление по труду, занятости и социальной защите).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5"/>
      </w:tblGrid>
      <w:tr w:rsidR="004F0348" w:rsidRPr="004F0348" w:rsidTr="004F03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Премия за отложенный выход 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на пенсию предусмотрена статьей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br/>
              <w:t>23-1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Закона Республики Беларусь «О пенсионном обеспечении»:  при продолжении  работы после достижения общеустановленного пенсионного возраста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без получения государственной пенсии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пенсия по возрасту на общих основаниях 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 xml:space="preserve">увеличивается </w:t>
            </w:r>
            <w:proofErr w:type="gramStart"/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: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6, 8, 10 и 12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процентов заработка, из которого исчисляется пенсия, – соответственно за каждый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 xml:space="preserve">полный первый, второй, третий и 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lastRenderedPageBreak/>
              <w:t>четвертый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годы работы, по 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14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процентов такого заработка – за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полный пятый и каждый последующий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год работы. Указанные размеры увеличения пенсии суммируются между собой;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1 процент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заработка, из которого исчисляется пенсия, – за каждые </w:t>
            </w:r>
            <w:proofErr w:type="gramStart"/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полные два месяца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неполного</w:t>
            </w:r>
            <w:proofErr w:type="gramEnd"/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 xml:space="preserve"> года работы. Данный размер увеличения пенсии суммируется с вышеуказанными размерами увеличения пенсии.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Под работой, дающей право на увеличение пенсии, понимаются периоды работы, предпринимательской, творческой и иной деятельности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, в течение которых производилась уплата обязательных страховых взносов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в бюджет фонда социальной защиты населения согласно законодательству о государственном социальном страховании.</w:t>
            </w:r>
          </w:p>
        </w:tc>
      </w:tr>
    </w:tbl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lastRenderedPageBreak/>
        <w:t>Бонусы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:</w:t>
      </w:r>
    </w:p>
    <w:p w:rsidR="004F0348" w:rsidRPr="004F0348" w:rsidRDefault="004F0348" w:rsidP="004F0348">
      <w:pPr>
        <w:numPr>
          <w:ilvl w:val="0"/>
          <w:numId w:val="4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увеличение размера пенсии за счет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дополнительного стажа 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(в него будет включено время работы после назначения пенсии) (часть 4 статьи 51, статья 66 Закона «О пенсионном обеспечении»);</w:t>
      </w:r>
    </w:p>
    <w:p w:rsidR="004F0348" w:rsidRPr="004F0348" w:rsidRDefault="004F0348" w:rsidP="004F0348">
      <w:pPr>
        <w:numPr>
          <w:ilvl w:val="0"/>
          <w:numId w:val="4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увеличение размера пенсии за счет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премии 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(статья 23-1 Закона «О пенсионном обеспечении»).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5"/>
      </w:tblGrid>
      <w:tr w:rsidR="004F0348" w:rsidRPr="004F0348" w:rsidTr="004F03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Например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: мужчина с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35-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летним стажем 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u w:val="single"/>
                <w:lang w:val="ru-RU" w:eastAsia="ru-RU" w:bidi="ar-SA"/>
              </w:rPr>
              <w:t>работал без получения пенсии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3 года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.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Пенсия увеличится: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        за дополнительный стаж (за 36-38 годы) –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на 3 %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 заработка, из которого исчисляется пенсия;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       за счет премии (6% + 8% + 10%) –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еще на 24 %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заработка, из которого исчисляется пенсия.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      В результате пенсия будет выше 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на 27 % заработка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, из которого исчисляется пенсия, или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в 1,42 раза.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      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Пенсия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в новом повышенном размере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будет выплачиваться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сразу после перерасчета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.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Разница между «новой» и «старой» пенсией будет сохраняться 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при всех последующих ежегодных повышениях (индексациях) пенсии.             </w:t>
            </w:r>
          </w:p>
        </w:tc>
      </w:tr>
    </w:tbl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         Повышение пенсии за отложенный выход</w:t>
      </w:r>
    </w:p>
    <w:tbl>
      <w:tblPr>
        <w:tblW w:w="6645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3"/>
        <w:gridCol w:w="2500"/>
        <w:gridCol w:w="2372"/>
      </w:tblGrid>
      <w:tr w:rsidR="004F0348" w:rsidRPr="004F0348" w:rsidTr="004F0348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45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inherit" w:eastAsia="Times New Roman" w:hAnsi="inherit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Период работы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без получения пенсии (лет)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Премия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в процентах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к заработку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, из которого исчисляется пенсия (статьи 23-1, 56)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 w:eastAsia="ru-RU" w:bidi="ar-SA"/>
              </w:rPr>
              <w:t>Рост пенсии </w:t>
            </w: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 при стаже 30 лет</w:t>
            </w: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br/>
              <w:t>у женщины, 35 лет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у мужчины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(</w:t>
            </w:r>
            <w:r w:rsidRPr="004F0348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 w:eastAsia="ru-RU" w:bidi="ar-SA"/>
              </w:rPr>
              <w:t>в разах</w:t>
            </w: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4F0348" w:rsidRPr="004F0348" w:rsidTr="004F0348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4F0348" w:rsidRPr="004F0348" w:rsidTr="004F0348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14 (= 6+8)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1,2</w:t>
            </w:r>
          </w:p>
        </w:tc>
      </w:tr>
      <w:tr w:rsidR="004F0348" w:rsidRPr="004F0348" w:rsidTr="004F0348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24 (=14+10)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1,4</w:t>
            </w:r>
          </w:p>
        </w:tc>
      </w:tr>
      <w:tr w:rsidR="004F0348" w:rsidRPr="004F0348" w:rsidTr="004F0348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36 (=24+12)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1,6</w:t>
            </w:r>
          </w:p>
        </w:tc>
      </w:tr>
      <w:tr w:rsidR="004F0348" w:rsidRPr="004F0348" w:rsidTr="004F0348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50 (=36+14)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1,8</w:t>
            </w:r>
          </w:p>
        </w:tc>
      </w:tr>
      <w:tr w:rsidR="004F0348" w:rsidRPr="004F0348" w:rsidTr="004F0348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64 (=50+14)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2,0</w:t>
            </w:r>
          </w:p>
        </w:tc>
      </w:tr>
    </w:tbl>
    <w:p w:rsidR="004F0348" w:rsidRPr="004F0348" w:rsidRDefault="004F0348" w:rsidP="004F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shd w:val="clear" w:color="auto" w:fill="FFFFFF"/>
          <w:lang w:val="ru-RU" w:eastAsia="ru-RU" w:bidi="ar-SA"/>
        </w:rPr>
        <w:t> </w:t>
      </w:r>
    </w:p>
    <w:tbl>
      <w:tblPr>
        <w:tblW w:w="3750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</w:tblGrid>
      <w:tr w:rsidR="004F0348" w:rsidRPr="004F0348" w:rsidTr="004F03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 w:eastAsia="ru-RU" w:bidi="ar-SA"/>
              </w:rPr>
              <w:t>Важно:</w:t>
            </w:r>
          </w:p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 w:eastAsia="ru-RU" w:bidi="ar-SA"/>
              </w:rPr>
              <w:t xml:space="preserve">каждый </w:t>
            </w:r>
            <w:proofErr w:type="gramStart"/>
            <w:r w:rsidRPr="004F0348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 w:eastAsia="ru-RU" w:bidi="ar-SA"/>
              </w:rPr>
              <w:t>следующий</w:t>
            </w: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 полный год</w:t>
            </w:r>
            <w:proofErr w:type="gramEnd"/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 xml:space="preserve"> работы без получения пенсии дает </w:t>
            </w:r>
            <w:r w:rsidRPr="004F0348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lang w:val="ru-RU" w:eastAsia="ru-RU" w:bidi="ar-SA"/>
              </w:rPr>
              <w:t>более высокую</w:t>
            </w:r>
            <w:r w:rsidRPr="004F0348"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  <w:t> премию. Чем  больше лет Вы работаете без получения пенсии, тем более значительно прирастает Ваша пенсия</w:t>
            </w:r>
          </w:p>
        </w:tc>
      </w:tr>
    </w:tbl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 xml:space="preserve">Если Вы приняли решение отказаться от получения пенсии по возрасту (для последующего повышения её размера), то выплата пенсии </w:t>
      </w:r>
      <w:proofErr w:type="gramStart"/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будет приостановлена начиная</w:t>
      </w:r>
      <w:proofErr w:type="gramEnd"/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 xml:space="preserve"> с даты, указанной в Вашем заявлении, но не ранее, чем со дня его подачи. Возврат уже полученной пенсии не допускается.</w:t>
      </w:r>
    </w:p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После того, как выбранный период работы без получения пенсии завершится, либо в случае прекращения работы необходимо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обратиться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в управление по труду, занятости и социальной защите с заявлениями:</w:t>
      </w:r>
    </w:p>
    <w:p w:rsidR="004F0348" w:rsidRPr="004F0348" w:rsidRDefault="004F0348" w:rsidP="004F0348">
      <w:pPr>
        <w:numPr>
          <w:ilvl w:val="0"/>
          <w:numId w:val="5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о возобновлении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выплаты пенсии по возрасту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с конкретной даты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;</w:t>
      </w:r>
    </w:p>
    <w:p w:rsidR="004F0348" w:rsidRPr="004F0348" w:rsidRDefault="004F0348" w:rsidP="004F0348">
      <w:pPr>
        <w:numPr>
          <w:ilvl w:val="0"/>
          <w:numId w:val="5"/>
        </w:numPr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о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перерасчете размера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пенсии по возрасту с учетом дополнительного стажа и премиальной доплаты.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5"/>
      </w:tblGrid>
      <w:tr w:rsidR="004F0348" w:rsidRPr="004F0348" w:rsidTr="004F03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Согласно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статье 81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Закона «О пенсионном обеспечении» перерасчет назначенной пенсии производится с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первого числа месяца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,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следующего за тем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,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в котором пенсионер обратился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за перерасчетом пенсии в установленном законодательством порядке.</w:t>
            </w:r>
          </w:p>
        </w:tc>
      </w:tr>
    </w:tbl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lastRenderedPageBreak/>
        <w:t>Формировать премию за отложенный выход на пенсию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можно поэтапно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: заявление об отказе от получения пенсии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можно продлевать несколько раз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, можно делать перерывы (периоды работы без получения пенсии будут суммироваться).</w:t>
      </w:r>
    </w:p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Вы 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вправе изменить принятое решение об отказе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от получения пенсии и</w:t>
      </w:r>
      <w:r w:rsidRPr="004F0348">
        <w:rPr>
          <w:rFonts w:ascii="Arial" w:eastAsia="Times New Roman" w:hAnsi="Arial" w:cs="Arial"/>
          <w:b/>
          <w:bCs/>
          <w:color w:val="383838"/>
          <w:sz w:val="24"/>
          <w:szCs w:val="24"/>
          <w:lang w:val="ru-RU" w:eastAsia="ru-RU" w:bidi="ar-SA"/>
        </w:rPr>
        <w:t> обратиться с заявлением о возобновлении выплаты пенсии</w:t>
      </w: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за период неполучения (если перерасчет пенсии по статье 23-1 Закона «О пенсионном обеспечении» еще не произведен).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5"/>
      </w:tblGrid>
      <w:tr w:rsidR="004F0348" w:rsidRPr="004F0348" w:rsidTr="004F03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F0348" w:rsidRPr="004F0348" w:rsidRDefault="004F0348" w:rsidP="004F0348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val="ru-RU" w:eastAsia="ru-RU" w:bidi="ar-SA"/>
              </w:rPr>
            </w:pP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Начисленные суммы пенсии, не востребованные пенсионером своевременно, выплачиваются за прошлое время 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не более чем за 3 года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перед обращением за получением пенсии (</w:t>
            </w:r>
            <w:r w:rsidRPr="004F0348">
              <w:rPr>
                <w:rFonts w:ascii="Arial" w:eastAsia="Times New Roman" w:hAnsi="Arial" w:cs="Arial"/>
                <w:b/>
                <w:bCs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статья 90</w:t>
            </w:r>
            <w:r w:rsidRPr="004F0348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val="ru-RU" w:eastAsia="ru-RU" w:bidi="ar-SA"/>
              </w:rPr>
              <w:t> Закона «О пенсионном обеспечении»).</w:t>
            </w:r>
          </w:p>
        </w:tc>
      </w:tr>
    </w:tbl>
    <w:p w:rsidR="004F0348" w:rsidRPr="004F0348" w:rsidRDefault="004F0348" w:rsidP="004F0348">
      <w:pPr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</w:pPr>
      <w:r w:rsidRPr="004F0348">
        <w:rPr>
          <w:rFonts w:ascii="Arial" w:eastAsia="Times New Roman" w:hAnsi="Arial" w:cs="Arial"/>
          <w:color w:val="383838"/>
          <w:sz w:val="24"/>
          <w:szCs w:val="24"/>
          <w:lang w:val="ru-RU" w:eastAsia="ru-RU" w:bidi="ar-SA"/>
        </w:rPr>
        <w:t> </w:t>
      </w:r>
    </w:p>
    <w:p w:rsidR="00BE5FAD" w:rsidRPr="004F0348" w:rsidRDefault="00BE5FAD">
      <w:pPr>
        <w:rPr>
          <w:lang w:val="ru-RU"/>
        </w:rPr>
      </w:pPr>
    </w:p>
    <w:sectPr w:rsidR="00BE5FAD" w:rsidRPr="004F0348" w:rsidSect="00B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74"/>
    <w:multiLevelType w:val="multilevel"/>
    <w:tmpl w:val="174E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23A23"/>
    <w:multiLevelType w:val="multilevel"/>
    <w:tmpl w:val="18C0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649F3"/>
    <w:multiLevelType w:val="multilevel"/>
    <w:tmpl w:val="800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B3A46"/>
    <w:multiLevelType w:val="multilevel"/>
    <w:tmpl w:val="B6C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C3776"/>
    <w:multiLevelType w:val="multilevel"/>
    <w:tmpl w:val="DEAE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48"/>
    <w:rsid w:val="001B05FC"/>
    <w:rsid w:val="001B3376"/>
    <w:rsid w:val="004F0348"/>
    <w:rsid w:val="00650A30"/>
    <w:rsid w:val="0082704B"/>
    <w:rsid w:val="00BE5FAD"/>
    <w:rsid w:val="00FC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76"/>
  </w:style>
  <w:style w:type="paragraph" w:styleId="1">
    <w:name w:val="heading 1"/>
    <w:basedOn w:val="a"/>
    <w:next w:val="a"/>
    <w:link w:val="10"/>
    <w:uiPriority w:val="9"/>
    <w:qFormat/>
    <w:rsid w:val="001B337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337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37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337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337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7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7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7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7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37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B337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337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337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B337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33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33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337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337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B337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337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337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37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B3376"/>
    <w:rPr>
      <w:b/>
      <w:bCs/>
    </w:rPr>
  </w:style>
  <w:style w:type="character" w:styleId="a8">
    <w:name w:val="Emphasis"/>
    <w:uiPriority w:val="20"/>
    <w:qFormat/>
    <w:rsid w:val="001B337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B337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33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33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33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B33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B3376"/>
    <w:rPr>
      <w:i/>
      <w:iCs/>
    </w:rPr>
  </w:style>
  <w:style w:type="character" w:styleId="ad">
    <w:name w:val="Subtle Emphasis"/>
    <w:uiPriority w:val="19"/>
    <w:qFormat/>
    <w:rsid w:val="001B3376"/>
    <w:rPr>
      <w:i/>
      <w:iCs/>
    </w:rPr>
  </w:style>
  <w:style w:type="character" w:styleId="ae">
    <w:name w:val="Intense Emphasis"/>
    <w:uiPriority w:val="21"/>
    <w:qFormat/>
    <w:rsid w:val="001B337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B3376"/>
    <w:rPr>
      <w:smallCaps/>
    </w:rPr>
  </w:style>
  <w:style w:type="character" w:styleId="af0">
    <w:name w:val="Intense Reference"/>
    <w:uiPriority w:val="32"/>
    <w:qFormat/>
    <w:rsid w:val="001B3376"/>
    <w:rPr>
      <w:b/>
      <w:bCs/>
      <w:smallCaps/>
    </w:rPr>
  </w:style>
  <w:style w:type="character" w:styleId="af1">
    <w:name w:val="Book Title"/>
    <w:basedOn w:val="a0"/>
    <w:uiPriority w:val="33"/>
    <w:qFormat/>
    <w:rsid w:val="001B337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B3376"/>
    <w:pPr>
      <w:outlineLvl w:val="9"/>
    </w:pPr>
  </w:style>
  <w:style w:type="paragraph" w:styleId="af3">
    <w:name w:val="Normal (Web)"/>
    <w:basedOn w:val="a"/>
    <w:uiPriority w:val="99"/>
    <w:unhideWhenUsed/>
    <w:rsid w:val="004F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4384C5"/>
          </w:divBdr>
        </w:div>
        <w:div w:id="285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4384C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Gl_ins</dc:creator>
  <cp:lastModifiedBy>Gl_ins</cp:lastModifiedBy>
  <cp:revision>1</cp:revision>
  <dcterms:created xsi:type="dcterms:W3CDTF">2024-12-11T13:22:00Z</dcterms:created>
  <dcterms:modified xsi:type="dcterms:W3CDTF">2024-12-11T14:30:00Z</dcterms:modified>
</cp:coreProperties>
</file>