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92" w:rsidRPr="007E2166" w:rsidRDefault="007E2166" w:rsidP="00FD6692">
      <w:pPr>
        <w:jc w:val="center"/>
        <w:rPr>
          <w:b/>
        </w:rPr>
      </w:pPr>
      <w:r>
        <w:rPr>
          <w:b/>
        </w:rPr>
        <w:t>Бюллетень</w:t>
      </w:r>
    </w:p>
    <w:p w:rsidR="00FD6692" w:rsidRPr="00A23B62" w:rsidRDefault="00FD6692" w:rsidP="00FD6692">
      <w:pPr>
        <w:jc w:val="center"/>
      </w:pPr>
      <w:r w:rsidRPr="00A23B62">
        <w:t>об итогах исполнения бюджета Октябрьского района</w:t>
      </w:r>
    </w:p>
    <w:p w:rsidR="00FD6692" w:rsidRPr="00A23B62" w:rsidRDefault="00FD6692" w:rsidP="00FD6692">
      <w:pPr>
        <w:jc w:val="center"/>
      </w:pPr>
      <w:r w:rsidRPr="00A23B62">
        <w:t xml:space="preserve">за 1 </w:t>
      </w:r>
      <w:r w:rsidR="001C5E13">
        <w:t>полугодие</w:t>
      </w:r>
      <w:r w:rsidRPr="00A23B62">
        <w:t xml:space="preserve"> 2025 года</w:t>
      </w:r>
    </w:p>
    <w:p w:rsidR="00FD6692" w:rsidRDefault="00FD6692" w:rsidP="00FD6692">
      <w:pPr>
        <w:jc w:val="center"/>
        <w:rPr>
          <w:b/>
        </w:rPr>
      </w:pPr>
    </w:p>
    <w:p w:rsidR="00DD31D9" w:rsidRDefault="00DD31D9" w:rsidP="00DD31D9">
      <w:pPr>
        <w:ind w:firstLine="709"/>
        <w:jc w:val="both"/>
      </w:pPr>
      <w:r>
        <w:t xml:space="preserve">По итогам </w:t>
      </w:r>
      <w:r w:rsidRPr="00EC283C">
        <w:t>1</w:t>
      </w:r>
      <w:r>
        <w:t>-ого</w:t>
      </w:r>
      <w:r w:rsidRPr="00EC283C">
        <w:t xml:space="preserve"> </w:t>
      </w:r>
      <w:r>
        <w:t>полугодия 2025 года</w:t>
      </w:r>
      <w:r w:rsidRPr="00EC283C">
        <w:t xml:space="preserve"> </w:t>
      </w:r>
      <w:r>
        <w:t>общие поступления в консолидированный бюджет района сложились в размере</w:t>
      </w:r>
      <w:r w:rsidRPr="00EC283C">
        <w:t xml:space="preserve"> </w:t>
      </w:r>
      <w:r>
        <w:t>28 952,8</w:t>
      </w:r>
      <w:r w:rsidRPr="00EC283C">
        <w:t xml:space="preserve"> тыс. рублей</w:t>
      </w:r>
      <w:r>
        <w:t>, что составляет 51,8</w:t>
      </w:r>
      <w:r w:rsidRPr="00FD6692">
        <w:t xml:space="preserve">% </w:t>
      </w:r>
      <w:r>
        <w:t xml:space="preserve">уточненного </w:t>
      </w:r>
      <w:r w:rsidRPr="00FD6692">
        <w:t>годового плана</w:t>
      </w:r>
      <w:r>
        <w:t xml:space="preserve"> и 98,8 % уточненного плана отчетного периода, что на 5 213,4 тыс. рублей больше, чем за аналогичный период 2024 года.</w:t>
      </w:r>
      <w:r w:rsidRPr="00FD6692">
        <w:t xml:space="preserve"> В их структуре удельный вес собственных доходов </w:t>
      </w:r>
      <w:r>
        <w:t>(налоговых и неналоговых) составляет 32,0</w:t>
      </w:r>
      <w:r w:rsidRPr="00FD6692">
        <w:t xml:space="preserve">% </w:t>
      </w:r>
      <w:r>
        <w:t>или    9 269,5</w:t>
      </w:r>
      <w:r w:rsidRPr="00EC283C">
        <w:t xml:space="preserve"> тыс. рублей</w:t>
      </w:r>
      <w:r w:rsidR="00F92863">
        <w:t>.</w:t>
      </w:r>
      <w:r>
        <w:t xml:space="preserve">  </w:t>
      </w:r>
    </w:p>
    <w:p w:rsidR="007E2166" w:rsidRDefault="007E2166" w:rsidP="007E2166">
      <w:pPr>
        <w:jc w:val="both"/>
      </w:pPr>
      <w:r w:rsidRPr="007E2166">
        <w:rPr>
          <w:noProof/>
        </w:rPr>
        <w:drawing>
          <wp:inline distT="0" distB="0" distL="0" distR="0" wp14:anchorId="05596F21" wp14:editId="6681D5B0">
            <wp:extent cx="6120130" cy="2208362"/>
            <wp:effectExtent l="0" t="0" r="13970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79A2490-E53D-4A59-B256-C1AED2CE96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5914" w:rsidRDefault="003D3B62" w:rsidP="00A75914">
      <w:pPr>
        <w:ind w:firstLine="709"/>
        <w:jc w:val="both"/>
      </w:pPr>
      <w:r>
        <w:t>В формировании бюджета Октябрьского района значительная доля средств приходится на безвозмездные поступления из республиканского и областного бюджетов</w:t>
      </w:r>
      <w:r w:rsidR="00A75914">
        <w:t xml:space="preserve">, за счет которых обеспечивается сбалансированность бюджета района. За 6 месяцев т. г. они составили     </w:t>
      </w:r>
      <w:r w:rsidR="001C5E13">
        <w:t>19 683,4</w:t>
      </w:r>
      <w:r w:rsidR="00A75914">
        <w:t xml:space="preserve"> тыс. рублей (68</w:t>
      </w:r>
      <w:r w:rsidR="00A75914" w:rsidRPr="00FD6692">
        <w:t>,0%</w:t>
      </w:r>
      <w:r w:rsidR="00A75914">
        <w:t xml:space="preserve"> от общих поступлений), </w:t>
      </w:r>
      <w:r w:rsidR="001C5E13">
        <w:t>в том числе</w:t>
      </w:r>
      <w:r w:rsidR="00A75914">
        <w:t xml:space="preserve"> дотация – 1</w:t>
      </w:r>
      <w:r w:rsidR="001C5E13">
        <w:t>5 934,6 тыс. рублей</w:t>
      </w:r>
      <w:r w:rsidR="00A75914">
        <w:t xml:space="preserve"> (</w:t>
      </w:r>
      <w:r w:rsidR="00A75914" w:rsidRPr="00EC283C">
        <w:t>5</w:t>
      </w:r>
      <w:r w:rsidR="00A75914">
        <w:t>5,0</w:t>
      </w:r>
      <w:r w:rsidR="00A75914" w:rsidRPr="00EC283C">
        <w:t>%</w:t>
      </w:r>
      <w:r w:rsidR="00A75914">
        <w:t xml:space="preserve"> от общих поступлений), межбюджетные трансферты – 3 748,80 тыс. рублей (12,9% от общих поступлений).</w:t>
      </w:r>
    </w:p>
    <w:p w:rsidR="00265E2B" w:rsidRDefault="00265E2B" w:rsidP="00265E2B">
      <w:pPr>
        <w:suppressAutoHyphens/>
        <w:ind w:right="-1"/>
        <w:jc w:val="both"/>
        <w:rPr>
          <w:lang w:eastAsia="ar-SA"/>
        </w:rPr>
      </w:pPr>
      <w:r w:rsidRPr="001D54EE">
        <w:rPr>
          <w:noProof/>
        </w:rPr>
        <w:drawing>
          <wp:inline distT="0" distB="0" distL="0" distR="0" wp14:anchorId="70D5419E" wp14:editId="404338EB">
            <wp:extent cx="6120130" cy="3045124"/>
            <wp:effectExtent l="0" t="0" r="1397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3CF9" w:rsidRPr="00C150FB" w:rsidRDefault="00893CF9" w:rsidP="00265E2B">
      <w:pPr>
        <w:suppressAutoHyphens/>
        <w:ind w:right="-1" w:firstLine="709"/>
        <w:jc w:val="both"/>
        <w:rPr>
          <w:lang w:eastAsia="ar-SA"/>
        </w:rPr>
      </w:pPr>
      <w:r>
        <w:rPr>
          <w:lang w:eastAsia="ar-SA"/>
        </w:rPr>
        <w:lastRenderedPageBreak/>
        <w:t>Основными источниками доходной базы бюджета района на протяжении многих лет остается подоходный налог с физических лиц, на долю которого приходится 46,2% собственных доходов</w:t>
      </w:r>
      <w:r w:rsidR="0083005B">
        <w:rPr>
          <w:lang w:eastAsia="ar-SA"/>
        </w:rPr>
        <w:t xml:space="preserve"> и 14,8% в общем объеме бюджета района, налог на недвижимость – 18,2%</w:t>
      </w:r>
      <w:r w:rsidR="0083005B" w:rsidRPr="0083005B">
        <w:rPr>
          <w:lang w:eastAsia="ar-SA"/>
        </w:rPr>
        <w:t xml:space="preserve"> </w:t>
      </w:r>
      <w:r w:rsidR="0083005B">
        <w:rPr>
          <w:lang w:eastAsia="ar-SA"/>
        </w:rPr>
        <w:t>собственных доходов и 5,8% в общем объеме бюджета района, налог на добавленную стоимость – 17,4% и 5,6%. Всего они составляют 81,8% от суммы поступлений собственных доходов и 26,2% в общем объеме бюджета района.</w:t>
      </w:r>
    </w:p>
    <w:p w:rsidR="001C5E13" w:rsidRDefault="001415CA" w:rsidP="00F92863">
      <w:pPr>
        <w:ind w:firstLine="709"/>
        <w:jc w:val="both"/>
      </w:pPr>
      <w:r>
        <w:t>П</w:t>
      </w:r>
      <w:r w:rsidRPr="00C150FB">
        <w:t xml:space="preserve">о состоянию на </w:t>
      </w:r>
      <w:r>
        <w:t xml:space="preserve">1 июля т. г. </w:t>
      </w:r>
      <w:r w:rsidR="00E22CD5">
        <w:t xml:space="preserve">задолженность субъектов хозяйствования </w:t>
      </w:r>
      <w:r w:rsidR="00C901DE">
        <w:t>О</w:t>
      </w:r>
      <w:r w:rsidR="00E22CD5">
        <w:t xml:space="preserve">ктябрьского района по платежам во все уровни бюджетов составила </w:t>
      </w:r>
      <w:r w:rsidR="001C5E13" w:rsidRPr="00C150FB">
        <w:t xml:space="preserve">102,6 тыс. рублей. </w:t>
      </w:r>
    </w:p>
    <w:p w:rsidR="007E2166" w:rsidRDefault="007E2166" w:rsidP="007E2166">
      <w:pPr>
        <w:jc w:val="both"/>
      </w:pPr>
      <w:r w:rsidRPr="007E2166">
        <w:rPr>
          <w:noProof/>
        </w:rPr>
        <w:drawing>
          <wp:inline distT="0" distB="0" distL="0" distR="0" wp14:anchorId="442375F9" wp14:editId="684F2290">
            <wp:extent cx="6339840" cy="382150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106F" w:rsidRPr="00A23B62" w:rsidRDefault="00BC106F" w:rsidP="00BC106F">
      <w:pPr>
        <w:ind w:firstLine="709"/>
        <w:jc w:val="both"/>
      </w:pPr>
      <w:r w:rsidRPr="00A23B62">
        <w:rPr>
          <w:b/>
        </w:rPr>
        <w:t xml:space="preserve">Расходы </w:t>
      </w:r>
      <w:r w:rsidR="006D2619" w:rsidRPr="00A23B62">
        <w:rPr>
          <w:b/>
        </w:rPr>
        <w:t xml:space="preserve">консолидированного </w:t>
      </w:r>
      <w:r w:rsidRPr="00A23B62">
        <w:rPr>
          <w:b/>
        </w:rPr>
        <w:t>бюджета за январь-</w:t>
      </w:r>
      <w:r w:rsidR="007327C7">
        <w:rPr>
          <w:b/>
        </w:rPr>
        <w:t>июнь</w:t>
      </w:r>
      <w:r w:rsidRPr="00A23B62">
        <w:rPr>
          <w:b/>
        </w:rPr>
        <w:t xml:space="preserve"> 202</w:t>
      </w:r>
      <w:r w:rsidR="006D2619" w:rsidRPr="00A23B62">
        <w:rPr>
          <w:b/>
        </w:rPr>
        <w:t>5</w:t>
      </w:r>
      <w:r w:rsidRPr="00A23B62">
        <w:rPr>
          <w:b/>
        </w:rPr>
        <w:t xml:space="preserve"> года</w:t>
      </w:r>
      <w:r w:rsidRPr="00A23B62">
        <w:t xml:space="preserve"> произведены в пределах поступивших в бюджет доходов</w:t>
      </w:r>
      <w:r w:rsidR="006D2619" w:rsidRPr="00A23B62">
        <w:t>, дотации из</w:t>
      </w:r>
      <w:r w:rsidRPr="00A23B62">
        <w:t xml:space="preserve"> республиканского бюджета</w:t>
      </w:r>
      <w:r w:rsidR="00863FC8" w:rsidRPr="00A23B62">
        <w:t>, средств</w:t>
      </w:r>
      <w:r w:rsidR="006D2619" w:rsidRPr="00A23B62">
        <w:t xml:space="preserve"> </w:t>
      </w:r>
      <w:r w:rsidR="00863FC8" w:rsidRPr="00A23B62">
        <w:t>из</w:t>
      </w:r>
      <w:r w:rsidR="006D2619" w:rsidRPr="00A23B62">
        <w:t xml:space="preserve"> областного бюджета </w:t>
      </w:r>
      <w:r w:rsidRPr="00A23B62">
        <w:t xml:space="preserve">и составили </w:t>
      </w:r>
      <w:r w:rsidR="007327C7">
        <w:rPr>
          <w:b/>
        </w:rPr>
        <w:t>29 271,5</w:t>
      </w:r>
      <w:r w:rsidR="006D2619" w:rsidRPr="00A23B62">
        <w:rPr>
          <w:b/>
        </w:rPr>
        <w:t xml:space="preserve"> тыс.</w:t>
      </w:r>
      <w:r w:rsidRPr="00A23B62">
        <w:rPr>
          <w:b/>
        </w:rPr>
        <w:t xml:space="preserve"> рублей</w:t>
      </w:r>
      <w:r w:rsidRPr="00A23B62">
        <w:t xml:space="preserve"> или </w:t>
      </w:r>
      <w:r w:rsidR="007327C7">
        <w:t>52,3</w:t>
      </w:r>
      <w:r w:rsidRPr="00A23B62">
        <w:t xml:space="preserve">% </w:t>
      </w:r>
      <w:r w:rsidR="006D2619" w:rsidRPr="00A23B62">
        <w:t xml:space="preserve">уточненного </w:t>
      </w:r>
      <w:r w:rsidRPr="00A23B62">
        <w:t>годового плана</w:t>
      </w:r>
      <w:r w:rsidR="006D2619" w:rsidRPr="00A23B62">
        <w:t>, 98,</w:t>
      </w:r>
      <w:r w:rsidR="007327C7">
        <w:t>1</w:t>
      </w:r>
      <w:r w:rsidR="006D2619" w:rsidRPr="00A23B62">
        <w:t xml:space="preserve">% уточненного плана 1 </w:t>
      </w:r>
      <w:r w:rsidR="007327C7">
        <w:t>полугодия</w:t>
      </w:r>
      <w:r w:rsidRPr="00A23B62">
        <w:t>.</w:t>
      </w:r>
    </w:p>
    <w:p w:rsidR="007E2166" w:rsidRPr="00A23B62" w:rsidRDefault="007E2166" w:rsidP="007E2166">
      <w:pPr>
        <w:jc w:val="both"/>
      </w:pPr>
      <w:r w:rsidRPr="007E2166">
        <w:rPr>
          <w:noProof/>
        </w:rPr>
        <w:lastRenderedPageBreak/>
        <w:drawing>
          <wp:inline distT="0" distB="0" distL="0" distR="0" wp14:anchorId="1B19E341" wp14:editId="21448A02">
            <wp:extent cx="6120130" cy="3648973"/>
            <wp:effectExtent l="0" t="0" r="1397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3AB4" w:rsidRDefault="00F93AB4" w:rsidP="00347EA6">
      <w:pPr>
        <w:ind w:firstLine="709"/>
        <w:rPr>
          <w:b/>
        </w:rPr>
      </w:pPr>
    </w:p>
    <w:p w:rsidR="003B10AE" w:rsidRDefault="003B10AE" w:rsidP="00C33853">
      <w:pPr>
        <w:ind w:firstLine="709"/>
        <w:jc w:val="both"/>
        <w:rPr>
          <w:i/>
          <w:sz w:val="26"/>
          <w:szCs w:val="26"/>
        </w:rPr>
      </w:pPr>
      <w:r w:rsidRPr="00184D9D">
        <w:rPr>
          <w:b/>
        </w:rPr>
        <w:t xml:space="preserve">Дебиторская задолженность </w:t>
      </w:r>
      <w:r w:rsidRPr="00184D9D">
        <w:t xml:space="preserve">по состоянию на 1 июля 2025 г. по бюджету района сложилась в объеме 34,8 тыс. рублей. По сравнению с 1 </w:t>
      </w:r>
      <w:r>
        <w:t>января</w:t>
      </w:r>
      <w:r w:rsidRPr="00184D9D">
        <w:t xml:space="preserve"> 2025 г. она </w:t>
      </w:r>
      <w:r>
        <w:t>увеличилась</w:t>
      </w:r>
      <w:r w:rsidRPr="00184D9D">
        <w:t xml:space="preserve"> на </w:t>
      </w:r>
      <w:r>
        <w:t>25,6</w:t>
      </w:r>
      <w:r w:rsidRPr="00184D9D">
        <w:t xml:space="preserve"> тыс. рублей</w:t>
      </w:r>
      <w:r w:rsidRPr="006D24D3">
        <w:rPr>
          <w:i/>
        </w:rPr>
        <w:t>.</w:t>
      </w:r>
      <w:r w:rsidRPr="006D24D3">
        <w:rPr>
          <w:i/>
          <w:sz w:val="26"/>
          <w:szCs w:val="26"/>
        </w:rPr>
        <w:t xml:space="preserve"> </w:t>
      </w:r>
    </w:p>
    <w:p w:rsidR="007E2166" w:rsidRPr="00A16D0E" w:rsidRDefault="007E2166" w:rsidP="007E2166">
      <w:pPr>
        <w:rPr>
          <w:i/>
        </w:rPr>
      </w:pPr>
      <w:r w:rsidRPr="007E2166">
        <w:rPr>
          <w:i/>
          <w:noProof/>
        </w:rPr>
        <w:drawing>
          <wp:inline distT="0" distB="0" distL="0" distR="0" wp14:anchorId="73E73F2F" wp14:editId="27D4C0A6">
            <wp:extent cx="6167887" cy="3985404"/>
            <wp:effectExtent l="0" t="0" r="444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2863" w:rsidRDefault="00F92863" w:rsidP="003B10AE">
      <w:pPr>
        <w:ind w:firstLine="709"/>
        <w:jc w:val="both"/>
        <w:rPr>
          <w:b/>
        </w:rPr>
      </w:pPr>
    </w:p>
    <w:p w:rsidR="00F92863" w:rsidRDefault="00F92863" w:rsidP="003B10AE">
      <w:pPr>
        <w:ind w:firstLine="709"/>
        <w:jc w:val="both"/>
        <w:rPr>
          <w:b/>
        </w:rPr>
      </w:pPr>
    </w:p>
    <w:p w:rsidR="003B10AE" w:rsidRDefault="003B10AE" w:rsidP="003B10AE">
      <w:pPr>
        <w:ind w:firstLine="709"/>
        <w:jc w:val="both"/>
      </w:pPr>
      <w:r w:rsidRPr="00383512">
        <w:rPr>
          <w:b/>
        </w:rPr>
        <w:lastRenderedPageBreak/>
        <w:t xml:space="preserve">Кредиторская задолженность </w:t>
      </w:r>
      <w:r w:rsidRPr="00383512">
        <w:t>на 1 июля 2025 г. по бюджету района составила 314,6 тыс. рублей</w:t>
      </w:r>
      <w:r>
        <w:t>.</w:t>
      </w:r>
      <w:r w:rsidRPr="00383512">
        <w:t xml:space="preserve"> </w:t>
      </w:r>
    </w:p>
    <w:p w:rsidR="00347EA6" w:rsidRDefault="007E2166" w:rsidP="007E2166">
      <w:pPr>
        <w:jc w:val="both"/>
      </w:pPr>
      <w:r w:rsidRPr="007E2166">
        <w:rPr>
          <w:noProof/>
        </w:rPr>
        <w:drawing>
          <wp:inline distT="0" distB="0" distL="0" distR="0" wp14:anchorId="162D4340" wp14:editId="1C192469">
            <wp:extent cx="6120130" cy="3411855"/>
            <wp:effectExtent l="0" t="0" r="1397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24D3" w:rsidRPr="006D24D3" w:rsidRDefault="006D24D3" w:rsidP="006D24D3">
      <w:pPr>
        <w:ind w:firstLine="720"/>
      </w:pPr>
      <w:r>
        <w:t>В текущем году сохраняется социальная направленность бюджета.</w:t>
      </w:r>
    </w:p>
    <w:p w:rsidR="00BC106F" w:rsidRPr="00A23B62" w:rsidRDefault="00BC106F" w:rsidP="00BC106F">
      <w:pPr>
        <w:ind w:firstLine="720"/>
        <w:jc w:val="both"/>
      </w:pPr>
      <w:r w:rsidRPr="00A23B62">
        <w:t xml:space="preserve">Всего расходы на социальную сферу за </w:t>
      </w:r>
      <w:r w:rsidR="00706813" w:rsidRPr="00A23B62">
        <w:t>1-</w:t>
      </w:r>
      <w:r w:rsidR="001E2EAB">
        <w:t>ое</w:t>
      </w:r>
      <w:r w:rsidR="00706813" w:rsidRPr="00A23B62">
        <w:t xml:space="preserve"> </w:t>
      </w:r>
      <w:r w:rsidR="001E2EAB">
        <w:t>полугодие</w:t>
      </w:r>
      <w:r w:rsidRPr="00A23B62">
        <w:t xml:space="preserve"> текущего года составили </w:t>
      </w:r>
      <w:r w:rsidR="001E2EAB">
        <w:t>19 794,2</w:t>
      </w:r>
      <w:r w:rsidR="00706813" w:rsidRPr="00A23B62">
        <w:t xml:space="preserve"> тыс</w:t>
      </w:r>
      <w:r w:rsidRPr="00A23B62">
        <w:t>. рублей</w:t>
      </w:r>
      <w:r w:rsidR="006C1897" w:rsidRPr="00A23B62">
        <w:t xml:space="preserve"> или</w:t>
      </w:r>
      <w:r w:rsidRPr="00A23B62">
        <w:t xml:space="preserve"> </w:t>
      </w:r>
      <w:r w:rsidR="001E2EAB">
        <w:t>52,2</w:t>
      </w:r>
      <w:r w:rsidRPr="00A23B62">
        <w:t xml:space="preserve">% к уточненному годовому плану. Их удельный вес в общих расходах бюджета составил </w:t>
      </w:r>
      <w:r w:rsidR="001E2EAB">
        <w:t>67,6</w:t>
      </w:r>
      <w:r w:rsidR="00F93AB4">
        <w:t>%</w:t>
      </w:r>
      <w:r w:rsidRPr="00A23B62">
        <w:t xml:space="preserve">. </w:t>
      </w:r>
    </w:p>
    <w:p w:rsidR="000D17AE" w:rsidRDefault="00BC106F" w:rsidP="00F93AB4">
      <w:pPr>
        <w:ind w:firstLine="709"/>
        <w:jc w:val="both"/>
      </w:pPr>
      <w:r w:rsidRPr="00A23B62">
        <w:t>В сложившейся структуре расходов</w:t>
      </w:r>
      <w:r w:rsidR="00F054EC" w:rsidRPr="00A23B62">
        <w:t xml:space="preserve"> </w:t>
      </w:r>
      <w:r w:rsidR="001E2EAB">
        <w:t>18 618,4</w:t>
      </w:r>
      <w:r w:rsidR="00BD2D8C" w:rsidRPr="00A23B62">
        <w:t xml:space="preserve"> </w:t>
      </w:r>
      <w:r w:rsidR="00F054EC" w:rsidRPr="00A23B62">
        <w:t>тыс</w:t>
      </w:r>
      <w:r w:rsidRPr="00A23B62">
        <w:t xml:space="preserve">. рублей или </w:t>
      </w:r>
      <w:r w:rsidR="001E2EAB">
        <w:t>94,1</w:t>
      </w:r>
      <w:r w:rsidRPr="00A23B62">
        <w:t>% состав</w:t>
      </w:r>
      <w:r w:rsidR="000D17AE">
        <w:t>ляют</w:t>
      </w:r>
      <w:r w:rsidRPr="00A23B62">
        <w:t xml:space="preserve"> первоочередные статьи расходов</w:t>
      </w:r>
      <w:r w:rsidR="000D17AE">
        <w:t>, из которых:</w:t>
      </w:r>
    </w:p>
    <w:p w:rsidR="000D17AE" w:rsidRDefault="00264C23" w:rsidP="00264C23">
      <w:pPr>
        <w:ind w:firstLine="720"/>
        <w:jc w:val="both"/>
      </w:pPr>
      <w:r w:rsidRPr="007E2166">
        <w:rPr>
          <w:noProof/>
        </w:rPr>
        <w:drawing>
          <wp:inline distT="0" distB="0" distL="0" distR="0" wp14:anchorId="48BCB843" wp14:editId="0AF5ADB9">
            <wp:extent cx="6120130" cy="360553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C106F" w:rsidRPr="00A23B62">
        <w:t xml:space="preserve"> </w:t>
      </w:r>
    </w:p>
    <w:p w:rsidR="00264C23" w:rsidRDefault="00264C23" w:rsidP="00F93AB4">
      <w:pPr>
        <w:ind w:firstLine="720"/>
        <w:jc w:val="center"/>
        <w:rPr>
          <w:b/>
        </w:rPr>
      </w:pPr>
    </w:p>
    <w:p w:rsidR="00F93AB4" w:rsidRPr="00F93AB4" w:rsidRDefault="00F93AB4" w:rsidP="00F93AB4">
      <w:pPr>
        <w:ind w:firstLine="720"/>
        <w:jc w:val="center"/>
        <w:rPr>
          <w:b/>
        </w:rPr>
      </w:pPr>
      <w:bookmarkStart w:id="0" w:name="_GoBack"/>
      <w:bookmarkEnd w:id="0"/>
      <w:r w:rsidRPr="00F93AB4">
        <w:rPr>
          <w:b/>
        </w:rPr>
        <w:lastRenderedPageBreak/>
        <w:t>Структура расходов отраслей национальной экономики</w:t>
      </w:r>
    </w:p>
    <w:p w:rsidR="00A16D0E" w:rsidRDefault="00F93AB4" w:rsidP="00A16D0E">
      <w:pPr>
        <w:rPr>
          <w:b/>
        </w:rPr>
      </w:pPr>
      <w:r w:rsidRPr="00F93A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C7C90" wp14:editId="43838E4F">
                <wp:simplePos x="0" y="0"/>
                <wp:positionH relativeFrom="column">
                  <wp:posOffset>3223368</wp:posOffset>
                </wp:positionH>
                <wp:positionV relativeFrom="paragraph">
                  <wp:posOffset>111915</wp:posOffset>
                </wp:positionV>
                <wp:extent cx="1545231" cy="400110"/>
                <wp:effectExtent l="0" t="0" r="0" b="0"/>
                <wp:wrapNone/>
                <wp:docPr id="1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231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3AB4" w:rsidRPr="00F93AB4" w:rsidRDefault="00F93AB4" w:rsidP="00F93AB4">
                            <w:pPr>
                              <w:pStyle w:val="aa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F93AB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C7C9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53.8pt;margin-top:8.8pt;width:121.65pt;height:31.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" filled="f" stroked="f">
                <v:textbox style="mso-fit-shape-to-text:t">
                  <w:txbxContent>
                    <w:p w:rsidR="00F93AB4" w:rsidRPr="00F93AB4" w:rsidRDefault="00F93AB4" w:rsidP="00F93AB4">
                      <w:pPr>
                        <w:pStyle w:val="aa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F93AB4">
                        <w:rPr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тыс. рублей</w:t>
                      </w:r>
                    </w:p>
                  </w:txbxContent>
                </v:textbox>
              </v:shape>
            </w:pict>
          </mc:Fallback>
        </mc:AlternateContent>
      </w:r>
      <w:r w:rsidR="00E23143" w:rsidRPr="00E23143">
        <w:rPr>
          <w:b/>
          <w:noProof/>
        </w:rPr>
        <w:drawing>
          <wp:inline distT="0" distB="0" distL="0" distR="0" wp14:anchorId="425F8D87" wp14:editId="66C55659">
            <wp:extent cx="6142007" cy="2458528"/>
            <wp:effectExtent l="0" t="0" r="1143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57B8" w:rsidRDefault="006D57B8" w:rsidP="006D57B8">
      <w:pPr>
        <w:ind w:firstLine="708"/>
        <w:jc w:val="both"/>
      </w:pPr>
      <w:r w:rsidRPr="00694761">
        <w:t xml:space="preserve">В </w:t>
      </w:r>
      <w:r w:rsidRPr="00C63C5E">
        <w:rPr>
          <w:b/>
        </w:rPr>
        <w:t>отрасль ЖКХ</w:t>
      </w:r>
      <w:r w:rsidRPr="00A23B62">
        <w:t xml:space="preserve"> за 1 </w:t>
      </w:r>
      <w:r>
        <w:t>полугодие</w:t>
      </w:r>
      <w:r w:rsidRPr="00A23B62">
        <w:t xml:space="preserve"> 2025 года направлено </w:t>
      </w:r>
      <w:r>
        <w:t>2</w:t>
      </w:r>
      <w:r w:rsidRPr="00A23B62">
        <w:t xml:space="preserve"> </w:t>
      </w:r>
      <w:r>
        <w:t>923</w:t>
      </w:r>
      <w:r w:rsidRPr="00A23B62">
        <w:t>,</w:t>
      </w:r>
      <w:r>
        <w:t>5</w:t>
      </w:r>
      <w:r w:rsidRPr="00A23B62">
        <w:t xml:space="preserve"> тыс. рублей или </w:t>
      </w:r>
      <w:r>
        <w:t>58</w:t>
      </w:r>
      <w:r w:rsidRPr="00A23B62">
        <w:t>,</w:t>
      </w:r>
      <w:r>
        <w:t>4</w:t>
      </w:r>
      <w:r w:rsidRPr="00A23B62">
        <w:t xml:space="preserve">% от общей суммы запланированных расходов на год. </w:t>
      </w:r>
      <w:r>
        <w:t xml:space="preserve">               </w:t>
      </w:r>
    </w:p>
    <w:p w:rsidR="006D57B8" w:rsidRDefault="00F92863" w:rsidP="00F92863">
      <w:pPr>
        <w:jc w:val="both"/>
      </w:pPr>
      <w:r w:rsidRPr="00F92863">
        <w:rPr>
          <w:noProof/>
        </w:rPr>
        <w:drawing>
          <wp:inline distT="0" distB="0" distL="0" distR="0" wp14:anchorId="6A67A145" wp14:editId="5D92315C">
            <wp:extent cx="6120130" cy="3237865"/>
            <wp:effectExtent l="0" t="0" r="13970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2863" w:rsidRDefault="00F92863" w:rsidP="003C57C1">
      <w:pPr>
        <w:ind w:firstLine="708"/>
        <w:jc w:val="both"/>
      </w:pPr>
    </w:p>
    <w:p w:rsidR="003C57C1" w:rsidRDefault="003C57C1" w:rsidP="003C57C1">
      <w:pPr>
        <w:ind w:firstLine="708"/>
        <w:jc w:val="both"/>
      </w:pPr>
      <w:r>
        <w:t xml:space="preserve">Производственный участок </w:t>
      </w:r>
      <w:proofErr w:type="spellStart"/>
      <w:r>
        <w:t>г.п</w:t>
      </w:r>
      <w:proofErr w:type="spellEnd"/>
      <w:r>
        <w:t>. Октябрьский филиал «АП №5» ОАО «</w:t>
      </w:r>
      <w:proofErr w:type="spellStart"/>
      <w:r>
        <w:t>Гомельоблавтотранс</w:t>
      </w:r>
      <w:proofErr w:type="spellEnd"/>
      <w:r>
        <w:t>» (далее – филиал «АП №5»), осуществляющий городские и пригородные пассажирские перевозки транспортом общего пользования в регулярном сообщении, профинансирован из районного бюджета в сумме 128,8 тыс. рублей или 100% плановых назначений 1 полугодия</w:t>
      </w:r>
      <w:r w:rsidR="000A7325">
        <w:t>,</w:t>
      </w:r>
      <w:r>
        <w:t xml:space="preserve"> 59,9 % годовых плановых назначений (215,1 тыс. рублей).</w:t>
      </w:r>
    </w:p>
    <w:p w:rsidR="003C57C1" w:rsidRDefault="003C57C1" w:rsidP="003C57C1">
      <w:pPr>
        <w:ind w:firstLine="708"/>
        <w:jc w:val="both"/>
      </w:pPr>
      <w:r>
        <w:t xml:space="preserve">Затраты филиал «АП №5» по осуществлению пассажирских перевозок за январь-июнь компенсированы всеми источниками финансирования на 76,0%. </w:t>
      </w:r>
      <w:proofErr w:type="spellStart"/>
      <w:r>
        <w:t>Недовозмещено</w:t>
      </w:r>
      <w:proofErr w:type="spellEnd"/>
      <w:r>
        <w:t xml:space="preserve"> 52,0 тыс. рублей или 24,0% от фактических затрат отчетного периода. </w:t>
      </w:r>
    </w:p>
    <w:p w:rsidR="000232A0" w:rsidRPr="00A23B62" w:rsidRDefault="00023BF5" w:rsidP="00E23143">
      <w:pPr>
        <w:ind w:firstLine="708"/>
        <w:jc w:val="both"/>
        <w:rPr>
          <w:b/>
          <w:i/>
        </w:rPr>
      </w:pPr>
      <w:r w:rsidRPr="00023BF5">
        <w:t>Расходы бюджета на возмещение разницы в цене на твердые виды топлива, реализуемые населению, а также на возмещение части надбавки</w:t>
      </w:r>
      <w:r w:rsidRPr="00A23B62">
        <w:t xml:space="preserve"> </w:t>
      </w:r>
      <w:r w:rsidRPr="00A23B62">
        <w:lastRenderedPageBreak/>
        <w:t xml:space="preserve">при реализации населению твердых видов топлива на </w:t>
      </w:r>
      <w:r w:rsidR="00475C63" w:rsidRPr="00A23B62">
        <w:t>1.0</w:t>
      </w:r>
      <w:r w:rsidR="00475C63">
        <w:t>7</w:t>
      </w:r>
      <w:r w:rsidR="00475C63" w:rsidRPr="00A23B62">
        <w:t>.2025 профинансированы</w:t>
      </w:r>
      <w:r w:rsidR="00F46414">
        <w:t xml:space="preserve"> на </w:t>
      </w:r>
      <w:r>
        <w:t>17</w:t>
      </w:r>
      <w:r w:rsidRPr="00A23B62">
        <w:t>,</w:t>
      </w:r>
      <w:r>
        <w:t>5</w:t>
      </w:r>
      <w:r w:rsidRPr="00A23B62">
        <w:t xml:space="preserve"> тыс. рублей, за а</w:t>
      </w:r>
      <w:r w:rsidR="00F46414">
        <w:t xml:space="preserve">налогичный период прошлого года – </w:t>
      </w:r>
      <w:r>
        <w:t>23</w:t>
      </w:r>
      <w:r w:rsidRPr="00A23B62">
        <w:t>,</w:t>
      </w:r>
      <w:r>
        <w:t>5</w:t>
      </w:r>
      <w:r w:rsidR="00F46414">
        <w:t xml:space="preserve"> тыс. рублей, что составляет </w:t>
      </w:r>
      <w:r w:rsidRPr="00A23B62">
        <w:t>7</w:t>
      </w:r>
      <w:r>
        <w:t>8</w:t>
      </w:r>
      <w:r w:rsidRPr="00A23B62">
        <w:t>,</w:t>
      </w:r>
      <w:r>
        <w:t>8</w:t>
      </w:r>
      <w:r w:rsidRPr="00A23B62">
        <w:t xml:space="preserve"> % ассигнований отчетного периода и </w:t>
      </w:r>
      <w:r>
        <w:t>22,8</w:t>
      </w:r>
      <w:r w:rsidRPr="00A23B62">
        <w:t>% годовых.</w:t>
      </w:r>
    </w:p>
    <w:sectPr w:rsidR="000232A0" w:rsidRPr="00A23B62" w:rsidSect="00462D51">
      <w:headerReference w:type="default" r:id="rId16"/>
      <w:footerReference w:type="first" r:id="rId17"/>
      <w:pgSz w:w="11906" w:h="16838" w:code="9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E1" w:rsidRDefault="001341E1">
      <w:r>
        <w:separator/>
      </w:r>
    </w:p>
  </w:endnote>
  <w:endnote w:type="continuationSeparator" w:id="0">
    <w:p w:rsidR="001341E1" w:rsidRDefault="0013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2B" w:rsidRDefault="0015702B" w:rsidP="0015702B">
    <w:pPr>
      <w:pStyle w:val="a5"/>
      <w:rPr>
        <w:sz w:val="12"/>
        <w:szCs w:val="12"/>
      </w:rPr>
    </w:pPr>
  </w:p>
  <w:p w:rsidR="0015702B" w:rsidRDefault="0015702B" w:rsidP="0015702B">
    <w:pPr>
      <w:pStyle w:val="a5"/>
      <w:rPr>
        <w:sz w:val="12"/>
        <w:szCs w:val="12"/>
      </w:rPr>
    </w:pPr>
  </w:p>
  <w:p w:rsidR="0015702B" w:rsidRDefault="0015702B" w:rsidP="0015702B">
    <w:pPr>
      <w:pStyle w:val="a5"/>
      <w:rPr>
        <w:sz w:val="12"/>
        <w:szCs w:val="12"/>
      </w:rPr>
    </w:pPr>
  </w:p>
  <w:p w:rsidR="0015702B" w:rsidRDefault="0015702B" w:rsidP="0015702B">
    <w:pPr>
      <w:pStyle w:val="a5"/>
      <w:rPr>
        <w:sz w:val="12"/>
        <w:szCs w:val="12"/>
      </w:rPr>
    </w:pPr>
  </w:p>
  <w:p w:rsidR="0015702B" w:rsidRDefault="0015702B" w:rsidP="0015702B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E1" w:rsidRDefault="001341E1">
      <w:r>
        <w:separator/>
      </w:r>
    </w:p>
  </w:footnote>
  <w:footnote w:type="continuationSeparator" w:id="0">
    <w:p w:rsidR="001341E1" w:rsidRDefault="0013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2B" w:rsidRPr="003A5D95" w:rsidRDefault="0015702B" w:rsidP="0015702B">
    <w:pPr>
      <w:pStyle w:val="a3"/>
      <w:jc w:val="center"/>
      <w:rPr>
        <w:sz w:val="28"/>
        <w:szCs w:val="28"/>
      </w:rPr>
    </w:pPr>
    <w:r w:rsidRPr="003A5D95">
      <w:rPr>
        <w:rStyle w:val="a7"/>
        <w:sz w:val="28"/>
        <w:szCs w:val="28"/>
      </w:rPr>
      <w:fldChar w:fldCharType="begin"/>
    </w:r>
    <w:r w:rsidRPr="003A5D95">
      <w:rPr>
        <w:rStyle w:val="a7"/>
        <w:sz w:val="28"/>
        <w:szCs w:val="28"/>
      </w:rPr>
      <w:instrText xml:space="preserve"> PAGE </w:instrText>
    </w:r>
    <w:r w:rsidRPr="003A5D95">
      <w:rPr>
        <w:rStyle w:val="a7"/>
        <w:sz w:val="28"/>
        <w:szCs w:val="28"/>
      </w:rPr>
      <w:fldChar w:fldCharType="separate"/>
    </w:r>
    <w:r w:rsidR="00264C23">
      <w:rPr>
        <w:rStyle w:val="a7"/>
        <w:noProof/>
        <w:sz w:val="28"/>
        <w:szCs w:val="28"/>
      </w:rPr>
      <w:t>6</w:t>
    </w:r>
    <w:r w:rsidRPr="003A5D95">
      <w:rPr>
        <w:rStyle w:val="a7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1"/>
    <w:rsid w:val="00001157"/>
    <w:rsid w:val="000013AC"/>
    <w:rsid w:val="000017C4"/>
    <w:rsid w:val="00002F47"/>
    <w:rsid w:val="00004B9D"/>
    <w:rsid w:val="000060E9"/>
    <w:rsid w:val="00006340"/>
    <w:rsid w:val="00007ED3"/>
    <w:rsid w:val="00010CAC"/>
    <w:rsid w:val="00011947"/>
    <w:rsid w:val="000128CE"/>
    <w:rsid w:val="00017D49"/>
    <w:rsid w:val="000232A0"/>
    <w:rsid w:val="00023BF5"/>
    <w:rsid w:val="000254B0"/>
    <w:rsid w:val="00026379"/>
    <w:rsid w:val="00030054"/>
    <w:rsid w:val="00033862"/>
    <w:rsid w:val="000340C2"/>
    <w:rsid w:val="00040E11"/>
    <w:rsid w:val="00044030"/>
    <w:rsid w:val="0005003B"/>
    <w:rsid w:val="00050B03"/>
    <w:rsid w:val="00050BA3"/>
    <w:rsid w:val="00053660"/>
    <w:rsid w:val="00053DBF"/>
    <w:rsid w:val="000541B3"/>
    <w:rsid w:val="00055FA0"/>
    <w:rsid w:val="00056C21"/>
    <w:rsid w:val="00057578"/>
    <w:rsid w:val="0006193D"/>
    <w:rsid w:val="00061A84"/>
    <w:rsid w:val="00072AA5"/>
    <w:rsid w:val="000739C3"/>
    <w:rsid w:val="0007478A"/>
    <w:rsid w:val="00076294"/>
    <w:rsid w:val="00077FDA"/>
    <w:rsid w:val="0008129F"/>
    <w:rsid w:val="000815C4"/>
    <w:rsid w:val="000827BE"/>
    <w:rsid w:val="000841A2"/>
    <w:rsid w:val="00084380"/>
    <w:rsid w:val="0008526B"/>
    <w:rsid w:val="000877B1"/>
    <w:rsid w:val="00090746"/>
    <w:rsid w:val="000938A4"/>
    <w:rsid w:val="000949B8"/>
    <w:rsid w:val="00095696"/>
    <w:rsid w:val="0009763F"/>
    <w:rsid w:val="000A3C5E"/>
    <w:rsid w:val="000A6185"/>
    <w:rsid w:val="000A6BBC"/>
    <w:rsid w:val="000A6D45"/>
    <w:rsid w:val="000A7325"/>
    <w:rsid w:val="000A748C"/>
    <w:rsid w:val="000A75E5"/>
    <w:rsid w:val="000B0713"/>
    <w:rsid w:val="000B108A"/>
    <w:rsid w:val="000B11EB"/>
    <w:rsid w:val="000B4E2A"/>
    <w:rsid w:val="000B50FB"/>
    <w:rsid w:val="000B58CE"/>
    <w:rsid w:val="000C1711"/>
    <w:rsid w:val="000C186B"/>
    <w:rsid w:val="000C2002"/>
    <w:rsid w:val="000C2B2A"/>
    <w:rsid w:val="000C7DF7"/>
    <w:rsid w:val="000D17AE"/>
    <w:rsid w:val="000D2FC7"/>
    <w:rsid w:val="000D3109"/>
    <w:rsid w:val="000D3B6B"/>
    <w:rsid w:val="000D624A"/>
    <w:rsid w:val="000D7922"/>
    <w:rsid w:val="000D7A26"/>
    <w:rsid w:val="000E1990"/>
    <w:rsid w:val="000E5E86"/>
    <w:rsid w:val="000E636D"/>
    <w:rsid w:val="000E6ACB"/>
    <w:rsid w:val="000E7F8E"/>
    <w:rsid w:val="000F167E"/>
    <w:rsid w:val="000F28CF"/>
    <w:rsid w:val="000F4F28"/>
    <w:rsid w:val="000F5730"/>
    <w:rsid w:val="000F6061"/>
    <w:rsid w:val="000F7E1C"/>
    <w:rsid w:val="0010147F"/>
    <w:rsid w:val="00101CBD"/>
    <w:rsid w:val="00104081"/>
    <w:rsid w:val="001042AA"/>
    <w:rsid w:val="00105807"/>
    <w:rsid w:val="00106AB3"/>
    <w:rsid w:val="0010749C"/>
    <w:rsid w:val="0011076A"/>
    <w:rsid w:val="001122C7"/>
    <w:rsid w:val="001125F0"/>
    <w:rsid w:val="00112A6B"/>
    <w:rsid w:val="00114ACB"/>
    <w:rsid w:val="00115506"/>
    <w:rsid w:val="00115748"/>
    <w:rsid w:val="001237C9"/>
    <w:rsid w:val="00124668"/>
    <w:rsid w:val="001341E1"/>
    <w:rsid w:val="001356FF"/>
    <w:rsid w:val="00135F3F"/>
    <w:rsid w:val="0013741E"/>
    <w:rsid w:val="001415CA"/>
    <w:rsid w:val="00145025"/>
    <w:rsid w:val="00145181"/>
    <w:rsid w:val="00153440"/>
    <w:rsid w:val="001543F1"/>
    <w:rsid w:val="00155591"/>
    <w:rsid w:val="0015684F"/>
    <w:rsid w:val="001569B7"/>
    <w:rsid w:val="0015702B"/>
    <w:rsid w:val="00157E03"/>
    <w:rsid w:val="00160054"/>
    <w:rsid w:val="0017192E"/>
    <w:rsid w:val="001734F9"/>
    <w:rsid w:val="0017496F"/>
    <w:rsid w:val="00175359"/>
    <w:rsid w:val="0017595D"/>
    <w:rsid w:val="00177301"/>
    <w:rsid w:val="00177899"/>
    <w:rsid w:val="0018127B"/>
    <w:rsid w:val="001822EC"/>
    <w:rsid w:val="00182588"/>
    <w:rsid w:val="00182E90"/>
    <w:rsid w:val="001831D8"/>
    <w:rsid w:val="00184617"/>
    <w:rsid w:val="00187CC5"/>
    <w:rsid w:val="00192EC2"/>
    <w:rsid w:val="00194CB6"/>
    <w:rsid w:val="0019580C"/>
    <w:rsid w:val="001974C0"/>
    <w:rsid w:val="001A0607"/>
    <w:rsid w:val="001A189B"/>
    <w:rsid w:val="001A2B58"/>
    <w:rsid w:val="001A41C1"/>
    <w:rsid w:val="001A4632"/>
    <w:rsid w:val="001A4EE5"/>
    <w:rsid w:val="001A566A"/>
    <w:rsid w:val="001B27B2"/>
    <w:rsid w:val="001B474D"/>
    <w:rsid w:val="001C0236"/>
    <w:rsid w:val="001C19B1"/>
    <w:rsid w:val="001C5D25"/>
    <w:rsid w:val="001C5E13"/>
    <w:rsid w:val="001C683F"/>
    <w:rsid w:val="001D212E"/>
    <w:rsid w:val="001D377E"/>
    <w:rsid w:val="001D5387"/>
    <w:rsid w:val="001D5D58"/>
    <w:rsid w:val="001D60F6"/>
    <w:rsid w:val="001E206F"/>
    <w:rsid w:val="001E2EAB"/>
    <w:rsid w:val="001E3514"/>
    <w:rsid w:val="001E456A"/>
    <w:rsid w:val="001E5625"/>
    <w:rsid w:val="001F33B2"/>
    <w:rsid w:val="001F3FF2"/>
    <w:rsid w:val="001F67AB"/>
    <w:rsid w:val="001F6BC3"/>
    <w:rsid w:val="001F7798"/>
    <w:rsid w:val="00201CCF"/>
    <w:rsid w:val="00201D38"/>
    <w:rsid w:val="00203EBD"/>
    <w:rsid w:val="00205253"/>
    <w:rsid w:val="0021009B"/>
    <w:rsid w:val="002128CC"/>
    <w:rsid w:val="00213523"/>
    <w:rsid w:val="00215625"/>
    <w:rsid w:val="00215DF4"/>
    <w:rsid w:val="0021697E"/>
    <w:rsid w:val="00217835"/>
    <w:rsid w:val="00226FE0"/>
    <w:rsid w:val="00226FE8"/>
    <w:rsid w:val="00231476"/>
    <w:rsid w:val="0023325A"/>
    <w:rsid w:val="00234A5A"/>
    <w:rsid w:val="002375F9"/>
    <w:rsid w:val="00237C46"/>
    <w:rsid w:val="00237FB9"/>
    <w:rsid w:val="00240F9B"/>
    <w:rsid w:val="0024147E"/>
    <w:rsid w:val="002415D6"/>
    <w:rsid w:val="00241F02"/>
    <w:rsid w:val="002429F7"/>
    <w:rsid w:val="00243B6E"/>
    <w:rsid w:val="0025258C"/>
    <w:rsid w:val="00253B49"/>
    <w:rsid w:val="00253D44"/>
    <w:rsid w:val="00253E60"/>
    <w:rsid w:val="00255132"/>
    <w:rsid w:val="00256B5D"/>
    <w:rsid w:val="00262650"/>
    <w:rsid w:val="002635A6"/>
    <w:rsid w:val="00263759"/>
    <w:rsid w:val="00264C23"/>
    <w:rsid w:val="00265E2B"/>
    <w:rsid w:val="00266C74"/>
    <w:rsid w:val="00271911"/>
    <w:rsid w:val="00275277"/>
    <w:rsid w:val="00276E92"/>
    <w:rsid w:val="00280381"/>
    <w:rsid w:val="00282974"/>
    <w:rsid w:val="0028437B"/>
    <w:rsid w:val="00284562"/>
    <w:rsid w:val="00285911"/>
    <w:rsid w:val="0028675C"/>
    <w:rsid w:val="00292347"/>
    <w:rsid w:val="002926E1"/>
    <w:rsid w:val="0029465A"/>
    <w:rsid w:val="00295C1C"/>
    <w:rsid w:val="002974D4"/>
    <w:rsid w:val="002978C1"/>
    <w:rsid w:val="002979B8"/>
    <w:rsid w:val="002A0FE3"/>
    <w:rsid w:val="002A1DB4"/>
    <w:rsid w:val="002A2E3E"/>
    <w:rsid w:val="002A4D79"/>
    <w:rsid w:val="002A699D"/>
    <w:rsid w:val="002B0E1F"/>
    <w:rsid w:val="002B1C23"/>
    <w:rsid w:val="002B7EA5"/>
    <w:rsid w:val="002C08F3"/>
    <w:rsid w:val="002C09D0"/>
    <w:rsid w:val="002C1C9D"/>
    <w:rsid w:val="002C553E"/>
    <w:rsid w:val="002C5644"/>
    <w:rsid w:val="002C6B56"/>
    <w:rsid w:val="002D1039"/>
    <w:rsid w:val="002D1570"/>
    <w:rsid w:val="002D71F5"/>
    <w:rsid w:val="002E515C"/>
    <w:rsid w:val="002E56D0"/>
    <w:rsid w:val="002F07F7"/>
    <w:rsid w:val="002F44DB"/>
    <w:rsid w:val="002F48FE"/>
    <w:rsid w:val="00303688"/>
    <w:rsid w:val="00306033"/>
    <w:rsid w:val="00307898"/>
    <w:rsid w:val="00313B9C"/>
    <w:rsid w:val="00314E30"/>
    <w:rsid w:val="00315071"/>
    <w:rsid w:val="0031769B"/>
    <w:rsid w:val="003208B8"/>
    <w:rsid w:val="00324C32"/>
    <w:rsid w:val="00326266"/>
    <w:rsid w:val="00327085"/>
    <w:rsid w:val="00327FFE"/>
    <w:rsid w:val="003322AC"/>
    <w:rsid w:val="00332988"/>
    <w:rsid w:val="00332ED2"/>
    <w:rsid w:val="003337E4"/>
    <w:rsid w:val="0033619B"/>
    <w:rsid w:val="003377F1"/>
    <w:rsid w:val="003379BE"/>
    <w:rsid w:val="003403A6"/>
    <w:rsid w:val="003415DE"/>
    <w:rsid w:val="0034540C"/>
    <w:rsid w:val="00346ACF"/>
    <w:rsid w:val="00346BA0"/>
    <w:rsid w:val="00346F01"/>
    <w:rsid w:val="00346FE5"/>
    <w:rsid w:val="00347BC8"/>
    <w:rsid w:val="00347E38"/>
    <w:rsid w:val="00347EA6"/>
    <w:rsid w:val="00355A46"/>
    <w:rsid w:val="00355C20"/>
    <w:rsid w:val="003564D4"/>
    <w:rsid w:val="003575D3"/>
    <w:rsid w:val="003617EE"/>
    <w:rsid w:val="0036548D"/>
    <w:rsid w:val="00366A60"/>
    <w:rsid w:val="00367F24"/>
    <w:rsid w:val="003714FA"/>
    <w:rsid w:val="0037222F"/>
    <w:rsid w:val="00372D48"/>
    <w:rsid w:val="00373593"/>
    <w:rsid w:val="00375429"/>
    <w:rsid w:val="00375980"/>
    <w:rsid w:val="003772EF"/>
    <w:rsid w:val="00384929"/>
    <w:rsid w:val="00384B8C"/>
    <w:rsid w:val="00385186"/>
    <w:rsid w:val="00387071"/>
    <w:rsid w:val="00393673"/>
    <w:rsid w:val="00396A90"/>
    <w:rsid w:val="00397940"/>
    <w:rsid w:val="003A1078"/>
    <w:rsid w:val="003A5CC9"/>
    <w:rsid w:val="003A704A"/>
    <w:rsid w:val="003B0577"/>
    <w:rsid w:val="003B10AE"/>
    <w:rsid w:val="003B1B15"/>
    <w:rsid w:val="003B2976"/>
    <w:rsid w:val="003B3C79"/>
    <w:rsid w:val="003C0436"/>
    <w:rsid w:val="003C2968"/>
    <w:rsid w:val="003C2DE1"/>
    <w:rsid w:val="003C3935"/>
    <w:rsid w:val="003C3B15"/>
    <w:rsid w:val="003C53B9"/>
    <w:rsid w:val="003C57C1"/>
    <w:rsid w:val="003C64B1"/>
    <w:rsid w:val="003D1951"/>
    <w:rsid w:val="003D1AA6"/>
    <w:rsid w:val="003D3B62"/>
    <w:rsid w:val="003D4F62"/>
    <w:rsid w:val="003D6E6C"/>
    <w:rsid w:val="003E3D27"/>
    <w:rsid w:val="003F203F"/>
    <w:rsid w:val="003F23A1"/>
    <w:rsid w:val="003F560B"/>
    <w:rsid w:val="003F565A"/>
    <w:rsid w:val="003F5C12"/>
    <w:rsid w:val="003F5E1A"/>
    <w:rsid w:val="003F66E3"/>
    <w:rsid w:val="00403B07"/>
    <w:rsid w:val="00403E76"/>
    <w:rsid w:val="0040444A"/>
    <w:rsid w:val="00406DD2"/>
    <w:rsid w:val="004071A4"/>
    <w:rsid w:val="00415369"/>
    <w:rsid w:val="00416632"/>
    <w:rsid w:val="004207CF"/>
    <w:rsid w:val="00420F04"/>
    <w:rsid w:val="00421394"/>
    <w:rsid w:val="0042156A"/>
    <w:rsid w:val="0042168F"/>
    <w:rsid w:val="00421CD7"/>
    <w:rsid w:val="00422426"/>
    <w:rsid w:val="00423EF3"/>
    <w:rsid w:val="00426C01"/>
    <w:rsid w:val="0043085C"/>
    <w:rsid w:val="00437F15"/>
    <w:rsid w:val="00441FBD"/>
    <w:rsid w:val="00442F5A"/>
    <w:rsid w:val="004437EA"/>
    <w:rsid w:val="0044613F"/>
    <w:rsid w:val="00450516"/>
    <w:rsid w:val="00451AF8"/>
    <w:rsid w:val="00461A13"/>
    <w:rsid w:val="00462D51"/>
    <w:rsid w:val="00465FBA"/>
    <w:rsid w:val="00472E34"/>
    <w:rsid w:val="004731E8"/>
    <w:rsid w:val="00475C63"/>
    <w:rsid w:val="00487001"/>
    <w:rsid w:val="00487480"/>
    <w:rsid w:val="00487ABB"/>
    <w:rsid w:val="00492F89"/>
    <w:rsid w:val="00493B72"/>
    <w:rsid w:val="00494EA0"/>
    <w:rsid w:val="00495548"/>
    <w:rsid w:val="00495798"/>
    <w:rsid w:val="004963FA"/>
    <w:rsid w:val="004977E6"/>
    <w:rsid w:val="004A041D"/>
    <w:rsid w:val="004A44CC"/>
    <w:rsid w:val="004B0258"/>
    <w:rsid w:val="004B2D02"/>
    <w:rsid w:val="004B3798"/>
    <w:rsid w:val="004B4ADF"/>
    <w:rsid w:val="004B6AA1"/>
    <w:rsid w:val="004C24DE"/>
    <w:rsid w:val="004C7E99"/>
    <w:rsid w:val="004D01B3"/>
    <w:rsid w:val="004D1D4F"/>
    <w:rsid w:val="004D3693"/>
    <w:rsid w:val="004D7C31"/>
    <w:rsid w:val="004D7E01"/>
    <w:rsid w:val="004D7F49"/>
    <w:rsid w:val="004E0D86"/>
    <w:rsid w:val="004E3096"/>
    <w:rsid w:val="004E4E21"/>
    <w:rsid w:val="004E79FE"/>
    <w:rsid w:val="004E7CDD"/>
    <w:rsid w:val="004F017F"/>
    <w:rsid w:val="004F54C2"/>
    <w:rsid w:val="004F684A"/>
    <w:rsid w:val="004F6E50"/>
    <w:rsid w:val="005006A8"/>
    <w:rsid w:val="005007FC"/>
    <w:rsid w:val="00501F29"/>
    <w:rsid w:val="005029E2"/>
    <w:rsid w:val="0050516F"/>
    <w:rsid w:val="0050623D"/>
    <w:rsid w:val="00510D51"/>
    <w:rsid w:val="00511245"/>
    <w:rsid w:val="00511867"/>
    <w:rsid w:val="00511D42"/>
    <w:rsid w:val="00513798"/>
    <w:rsid w:val="00514B57"/>
    <w:rsid w:val="00516F66"/>
    <w:rsid w:val="0052113C"/>
    <w:rsid w:val="00522692"/>
    <w:rsid w:val="00533435"/>
    <w:rsid w:val="00534DC7"/>
    <w:rsid w:val="005352FF"/>
    <w:rsid w:val="005356C7"/>
    <w:rsid w:val="005403F8"/>
    <w:rsid w:val="00542D62"/>
    <w:rsid w:val="005433FC"/>
    <w:rsid w:val="00546AD8"/>
    <w:rsid w:val="00550DC7"/>
    <w:rsid w:val="00551D07"/>
    <w:rsid w:val="005546F8"/>
    <w:rsid w:val="00557404"/>
    <w:rsid w:val="005645E2"/>
    <w:rsid w:val="005646B4"/>
    <w:rsid w:val="00567C89"/>
    <w:rsid w:val="00572A0C"/>
    <w:rsid w:val="00573701"/>
    <w:rsid w:val="0057566F"/>
    <w:rsid w:val="00593593"/>
    <w:rsid w:val="005945E7"/>
    <w:rsid w:val="005965B6"/>
    <w:rsid w:val="00596E98"/>
    <w:rsid w:val="005A1267"/>
    <w:rsid w:val="005A26D5"/>
    <w:rsid w:val="005A45F2"/>
    <w:rsid w:val="005A5766"/>
    <w:rsid w:val="005B1CEB"/>
    <w:rsid w:val="005B21B0"/>
    <w:rsid w:val="005B2CE1"/>
    <w:rsid w:val="005B3889"/>
    <w:rsid w:val="005B45EA"/>
    <w:rsid w:val="005B49FE"/>
    <w:rsid w:val="005B7C8D"/>
    <w:rsid w:val="005C7D47"/>
    <w:rsid w:val="005D0507"/>
    <w:rsid w:val="005D44F6"/>
    <w:rsid w:val="005D589D"/>
    <w:rsid w:val="005D7363"/>
    <w:rsid w:val="005E3227"/>
    <w:rsid w:val="005E3621"/>
    <w:rsid w:val="005E3EA3"/>
    <w:rsid w:val="005E7A3E"/>
    <w:rsid w:val="005F3E6D"/>
    <w:rsid w:val="005F445F"/>
    <w:rsid w:val="005F5BD7"/>
    <w:rsid w:val="005F75BA"/>
    <w:rsid w:val="006005C5"/>
    <w:rsid w:val="00600D4E"/>
    <w:rsid w:val="006042E7"/>
    <w:rsid w:val="00606B41"/>
    <w:rsid w:val="006074D7"/>
    <w:rsid w:val="0060764D"/>
    <w:rsid w:val="0061098A"/>
    <w:rsid w:val="00611532"/>
    <w:rsid w:val="00612944"/>
    <w:rsid w:val="00614221"/>
    <w:rsid w:val="00615A56"/>
    <w:rsid w:val="00624A25"/>
    <w:rsid w:val="006256D8"/>
    <w:rsid w:val="006273EF"/>
    <w:rsid w:val="006309CE"/>
    <w:rsid w:val="00634229"/>
    <w:rsid w:val="006344B8"/>
    <w:rsid w:val="00637D09"/>
    <w:rsid w:val="00640B7A"/>
    <w:rsid w:val="00641031"/>
    <w:rsid w:val="00641698"/>
    <w:rsid w:val="006431B7"/>
    <w:rsid w:val="00643B21"/>
    <w:rsid w:val="006559BB"/>
    <w:rsid w:val="00661D6B"/>
    <w:rsid w:val="00665178"/>
    <w:rsid w:val="00667E0A"/>
    <w:rsid w:val="0067221E"/>
    <w:rsid w:val="00673887"/>
    <w:rsid w:val="006750B7"/>
    <w:rsid w:val="0068350F"/>
    <w:rsid w:val="00685767"/>
    <w:rsid w:val="0068768C"/>
    <w:rsid w:val="0069058F"/>
    <w:rsid w:val="00691A91"/>
    <w:rsid w:val="00692740"/>
    <w:rsid w:val="00693776"/>
    <w:rsid w:val="0069741B"/>
    <w:rsid w:val="006979AC"/>
    <w:rsid w:val="006A28B4"/>
    <w:rsid w:val="006A3A61"/>
    <w:rsid w:val="006A4417"/>
    <w:rsid w:val="006A59BF"/>
    <w:rsid w:val="006A66B9"/>
    <w:rsid w:val="006B0AD7"/>
    <w:rsid w:val="006B42B7"/>
    <w:rsid w:val="006B75E9"/>
    <w:rsid w:val="006B774D"/>
    <w:rsid w:val="006C0367"/>
    <w:rsid w:val="006C1897"/>
    <w:rsid w:val="006C4036"/>
    <w:rsid w:val="006C5759"/>
    <w:rsid w:val="006C5FF5"/>
    <w:rsid w:val="006C688C"/>
    <w:rsid w:val="006D126B"/>
    <w:rsid w:val="006D24AA"/>
    <w:rsid w:val="006D24D3"/>
    <w:rsid w:val="006D2619"/>
    <w:rsid w:val="006D47FA"/>
    <w:rsid w:val="006D57B8"/>
    <w:rsid w:val="006D6682"/>
    <w:rsid w:val="006E12BE"/>
    <w:rsid w:val="006E42C0"/>
    <w:rsid w:val="006E5B82"/>
    <w:rsid w:val="006E65C8"/>
    <w:rsid w:val="006E6626"/>
    <w:rsid w:val="006F3F61"/>
    <w:rsid w:val="00701435"/>
    <w:rsid w:val="007022E2"/>
    <w:rsid w:val="007063E8"/>
    <w:rsid w:val="00706813"/>
    <w:rsid w:val="007068F0"/>
    <w:rsid w:val="007076FD"/>
    <w:rsid w:val="0071797F"/>
    <w:rsid w:val="007205C3"/>
    <w:rsid w:val="00722E6F"/>
    <w:rsid w:val="007276B8"/>
    <w:rsid w:val="00730178"/>
    <w:rsid w:val="007317EE"/>
    <w:rsid w:val="00731972"/>
    <w:rsid w:val="007327C7"/>
    <w:rsid w:val="00732963"/>
    <w:rsid w:val="00734344"/>
    <w:rsid w:val="00741F37"/>
    <w:rsid w:val="007439A2"/>
    <w:rsid w:val="00745856"/>
    <w:rsid w:val="007533DD"/>
    <w:rsid w:val="0075364C"/>
    <w:rsid w:val="00754502"/>
    <w:rsid w:val="00755211"/>
    <w:rsid w:val="0075544D"/>
    <w:rsid w:val="00762D3C"/>
    <w:rsid w:val="00763D1E"/>
    <w:rsid w:val="00764917"/>
    <w:rsid w:val="007652D9"/>
    <w:rsid w:val="00765D94"/>
    <w:rsid w:val="007679A8"/>
    <w:rsid w:val="00770702"/>
    <w:rsid w:val="007755A7"/>
    <w:rsid w:val="00777650"/>
    <w:rsid w:val="00781BCA"/>
    <w:rsid w:val="007825E6"/>
    <w:rsid w:val="00784E1A"/>
    <w:rsid w:val="00785866"/>
    <w:rsid w:val="00785F07"/>
    <w:rsid w:val="00785FA6"/>
    <w:rsid w:val="007962F8"/>
    <w:rsid w:val="007972B1"/>
    <w:rsid w:val="007976BE"/>
    <w:rsid w:val="007A0FD2"/>
    <w:rsid w:val="007A154D"/>
    <w:rsid w:val="007A22CC"/>
    <w:rsid w:val="007A293E"/>
    <w:rsid w:val="007A2CFF"/>
    <w:rsid w:val="007A504E"/>
    <w:rsid w:val="007B08DA"/>
    <w:rsid w:val="007B12CA"/>
    <w:rsid w:val="007B2C0C"/>
    <w:rsid w:val="007B6641"/>
    <w:rsid w:val="007B686F"/>
    <w:rsid w:val="007B7184"/>
    <w:rsid w:val="007C182B"/>
    <w:rsid w:val="007C1C34"/>
    <w:rsid w:val="007C22C1"/>
    <w:rsid w:val="007D1918"/>
    <w:rsid w:val="007D31E4"/>
    <w:rsid w:val="007D5ABB"/>
    <w:rsid w:val="007D5C79"/>
    <w:rsid w:val="007E0254"/>
    <w:rsid w:val="007E07C4"/>
    <w:rsid w:val="007E0FCD"/>
    <w:rsid w:val="007E2166"/>
    <w:rsid w:val="007E2917"/>
    <w:rsid w:val="007F1837"/>
    <w:rsid w:val="007F51E9"/>
    <w:rsid w:val="007F666F"/>
    <w:rsid w:val="007F6EE0"/>
    <w:rsid w:val="008018E9"/>
    <w:rsid w:val="00801D1A"/>
    <w:rsid w:val="00804B27"/>
    <w:rsid w:val="00805512"/>
    <w:rsid w:val="00805F9B"/>
    <w:rsid w:val="008066DF"/>
    <w:rsid w:val="0080785A"/>
    <w:rsid w:val="00807C8E"/>
    <w:rsid w:val="00807E2C"/>
    <w:rsid w:val="008106E3"/>
    <w:rsid w:val="00812DED"/>
    <w:rsid w:val="0081378B"/>
    <w:rsid w:val="00814C60"/>
    <w:rsid w:val="00817D99"/>
    <w:rsid w:val="00821C28"/>
    <w:rsid w:val="008229FC"/>
    <w:rsid w:val="008246EF"/>
    <w:rsid w:val="008255C9"/>
    <w:rsid w:val="0082710C"/>
    <w:rsid w:val="00827471"/>
    <w:rsid w:val="0083005B"/>
    <w:rsid w:val="00844BAC"/>
    <w:rsid w:val="00845B4E"/>
    <w:rsid w:val="008472CB"/>
    <w:rsid w:val="00851E8C"/>
    <w:rsid w:val="00856173"/>
    <w:rsid w:val="00857A8D"/>
    <w:rsid w:val="00861E4A"/>
    <w:rsid w:val="00863FC8"/>
    <w:rsid w:val="00876363"/>
    <w:rsid w:val="00880162"/>
    <w:rsid w:val="00880789"/>
    <w:rsid w:val="008827E8"/>
    <w:rsid w:val="00883408"/>
    <w:rsid w:val="008845BF"/>
    <w:rsid w:val="0088509A"/>
    <w:rsid w:val="00887D0B"/>
    <w:rsid w:val="00890019"/>
    <w:rsid w:val="00891E70"/>
    <w:rsid w:val="008922DD"/>
    <w:rsid w:val="00893CF9"/>
    <w:rsid w:val="00895EDA"/>
    <w:rsid w:val="00896A97"/>
    <w:rsid w:val="008A201A"/>
    <w:rsid w:val="008B2109"/>
    <w:rsid w:val="008B2387"/>
    <w:rsid w:val="008B3254"/>
    <w:rsid w:val="008B3A14"/>
    <w:rsid w:val="008B42EC"/>
    <w:rsid w:val="008B52A1"/>
    <w:rsid w:val="008B5A14"/>
    <w:rsid w:val="008C0EAC"/>
    <w:rsid w:val="008C28E5"/>
    <w:rsid w:val="008C30C6"/>
    <w:rsid w:val="008C36CD"/>
    <w:rsid w:val="008C5357"/>
    <w:rsid w:val="008C5C6F"/>
    <w:rsid w:val="008C67D0"/>
    <w:rsid w:val="008D2DDD"/>
    <w:rsid w:val="008D4A88"/>
    <w:rsid w:val="008E493F"/>
    <w:rsid w:val="008E5398"/>
    <w:rsid w:val="008E5869"/>
    <w:rsid w:val="008F390F"/>
    <w:rsid w:val="008F3CB7"/>
    <w:rsid w:val="008F42EF"/>
    <w:rsid w:val="008F67E5"/>
    <w:rsid w:val="008F7D09"/>
    <w:rsid w:val="00903374"/>
    <w:rsid w:val="00903B6C"/>
    <w:rsid w:val="00905831"/>
    <w:rsid w:val="00910B96"/>
    <w:rsid w:val="00912852"/>
    <w:rsid w:val="009136E5"/>
    <w:rsid w:val="009162DA"/>
    <w:rsid w:val="00916BA4"/>
    <w:rsid w:val="0091757A"/>
    <w:rsid w:val="009212C2"/>
    <w:rsid w:val="00921601"/>
    <w:rsid w:val="00921F13"/>
    <w:rsid w:val="009244BA"/>
    <w:rsid w:val="0092697B"/>
    <w:rsid w:val="00930420"/>
    <w:rsid w:val="009306D5"/>
    <w:rsid w:val="00936A15"/>
    <w:rsid w:val="00936A24"/>
    <w:rsid w:val="009376E4"/>
    <w:rsid w:val="0094018D"/>
    <w:rsid w:val="009410BE"/>
    <w:rsid w:val="009436DC"/>
    <w:rsid w:val="009458CC"/>
    <w:rsid w:val="00946FD3"/>
    <w:rsid w:val="009476EB"/>
    <w:rsid w:val="009509D2"/>
    <w:rsid w:val="00953BDD"/>
    <w:rsid w:val="00953FBF"/>
    <w:rsid w:val="00957765"/>
    <w:rsid w:val="009613C0"/>
    <w:rsid w:val="009624D5"/>
    <w:rsid w:val="00962EF0"/>
    <w:rsid w:val="00963DEC"/>
    <w:rsid w:val="00966A53"/>
    <w:rsid w:val="009673C8"/>
    <w:rsid w:val="0097211C"/>
    <w:rsid w:val="00973F07"/>
    <w:rsid w:val="00974742"/>
    <w:rsid w:val="00975726"/>
    <w:rsid w:val="00977B53"/>
    <w:rsid w:val="00981F0A"/>
    <w:rsid w:val="009828E9"/>
    <w:rsid w:val="009837BE"/>
    <w:rsid w:val="0098493F"/>
    <w:rsid w:val="00992E2E"/>
    <w:rsid w:val="00992F50"/>
    <w:rsid w:val="00994464"/>
    <w:rsid w:val="00994AAC"/>
    <w:rsid w:val="00996E75"/>
    <w:rsid w:val="00997485"/>
    <w:rsid w:val="009979D9"/>
    <w:rsid w:val="009A026A"/>
    <w:rsid w:val="009A0E1A"/>
    <w:rsid w:val="009A1F30"/>
    <w:rsid w:val="009A3310"/>
    <w:rsid w:val="009A3846"/>
    <w:rsid w:val="009A3EE8"/>
    <w:rsid w:val="009A476C"/>
    <w:rsid w:val="009A64DC"/>
    <w:rsid w:val="009B5745"/>
    <w:rsid w:val="009B7915"/>
    <w:rsid w:val="009C2154"/>
    <w:rsid w:val="009C520A"/>
    <w:rsid w:val="009C56CB"/>
    <w:rsid w:val="009C5916"/>
    <w:rsid w:val="009C7706"/>
    <w:rsid w:val="009D046C"/>
    <w:rsid w:val="009D3A96"/>
    <w:rsid w:val="009D795F"/>
    <w:rsid w:val="009E067F"/>
    <w:rsid w:val="009E06DD"/>
    <w:rsid w:val="009E2805"/>
    <w:rsid w:val="009E6568"/>
    <w:rsid w:val="009E6EC5"/>
    <w:rsid w:val="009E781D"/>
    <w:rsid w:val="009E7972"/>
    <w:rsid w:val="009F48DD"/>
    <w:rsid w:val="009F5C7E"/>
    <w:rsid w:val="00A00050"/>
    <w:rsid w:val="00A016BF"/>
    <w:rsid w:val="00A02942"/>
    <w:rsid w:val="00A11D71"/>
    <w:rsid w:val="00A12E2E"/>
    <w:rsid w:val="00A1606C"/>
    <w:rsid w:val="00A16AFF"/>
    <w:rsid w:val="00A16D0E"/>
    <w:rsid w:val="00A2072F"/>
    <w:rsid w:val="00A23B62"/>
    <w:rsid w:val="00A24E50"/>
    <w:rsid w:val="00A2641B"/>
    <w:rsid w:val="00A30804"/>
    <w:rsid w:val="00A31A62"/>
    <w:rsid w:val="00A33B39"/>
    <w:rsid w:val="00A34290"/>
    <w:rsid w:val="00A353A6"/>
    <w:rsid w:val="00A377CB"/>
    <w:rsid w:val="00A41457"/>
    <w:rsid w:val="00A41A86"/>
    <w:rsid w:val="00A42663"/>
    <w:rsid w:val="00A42CAD"/>
    <w:rsid w:val="00A43CC7"/>
    <w:rsid w:val="00A441CD"/>
    <w:rsid w:val="00A4611E"/>
    <w:rsid w:val="00A47879"/>
    <w:rsid w:val="00A50DC6"/>
    <w:rsid w:val="00A60475"/>
    <w:rsid w:val="00A60ED5"/>
    <w:rsid w:val="00A61630"/>
    <w:rsid w:val="00A63746"/>
    <w:rsid w:val="00A650BD"/>
    <w:rsid w:val="00A66E21"/>
    <w:rsid w:val="00A75914"/>
    <w:rsid w:val="00A75A29"/>
    <w:rsid w:val="00A75FFE"/>
    <w:rsid w:val="00A76011"/>
    <w:rsid w:val="00A83545"/>
    <w:rsid w:val="00A85CD2"/>
    <w:rsid w:val="00A90BFB"/>
    <w:rsid w:val="00A9488D"/>
    <w:rsid w:val="00A9490C"/>
    <w:rsid w:val="00A9753F"/>
    <w:rsid w:val="00A97746"/>
    <w:rsid w:val="00A97B6D"/>
    <w:rsid w:val="00AA1508"/>
    <w:rsid w:val="00AA346F"/>
    <w:rsid w:val="00AA745D"/>
    <w:rsid w:val="00AA7F87"/>
    <w:rsid w:val="00AB2580"/>
    <w:rsid w:val="00AB79D3"/>
    <w:rsid w:val="00AC0E0E"/>
    <w:rsid w:val="00AC207A"/>
    <w:rsid w:val="00AC2330"/>
    <w:rsid w:val="00AC667F"/>
    <w:rsid w:val="00AD00C4"/>
    <w:rsid w:val="00AD074F"/>
    <w:rsid w:val="00AD4E53"/>
    <w:rsid w:val="00AD51B7"/>
    <w:rsid w:val="00AD574D"/>
    <w:rsid w:val="00AD6722"/>
    <w:rsid w:val="00AD6CEE"/>
    <w:rsid w:val="00AE0E6B"/>
    <w:rsid w:val="00AE42AE"/>
    <w:rsid w:val="00AE7EEC"/>
    <w:rsid w:val="00AF07D5"/>
    <w:rsid w:val="00AF298C"/>
    <w:rsid w:val="00AF404A"/>
    <w:rsid w:val="00AF5729"/>
    <w:rsid w:val="00AF5779"/>
    <w:rsid w:val="00AF6554"/>
    <w:rsid w:val="00AF7024"/>
    <w:rsid w:val="00AF7A17"/>
    <w:rsid w:val="00B02EBB"/>
    <w:rsid w:val="00B02EFE"/>
    <w:rsid w:val="00B10FC2"/>
    <w:rsid w:val="00B12AE4"/>
    <w:rsid w:val="00B12E23"/>
    <w:rsid w:val="00B139B4"/>
    <w:rsid w:val="00B14B97"/>
    <w:rsid w:val="00B15365"/>
    <w:rsid w:val="00B165FA"/>
    <w:rsid w:val="00B1749A"/>
    <w:rsid w:val="00B2162A"/>
    <w:rsid w:val="00B21AD4"/>
    <w:rsid w:val="00B226F1"/>
    <w:rsid w:val="00B2343F"/>
    <w:rsid w:val="00B23AB2"/>
    <w:rsid w:val="00B30E00"/>
    <w:rsid w:val="00B30F39"/>
    <w:rsid w:val="00B31A0B"/>
    <w:rsid w:val="00B33E0F"/>
    <w:rsid w:val="00B36773"/>
    <w:rsid w:val="00B37D0B"/>
    <w:rsid w:val="00B40E76"/>
    <w:rsid w:val="00B42254"/>
    <w:rsid w:val="00B4269F"/>
    <w:rsid w:val="00B44311"/>
    <w:rsid w:val="00B51BF2"/>
    <w:rsid w:val="00B51D45"/>
    <w:rsid w:val="00B54AA6"/>
    <w:rsid w:val="00B56946"/>
    <w:rsid w:val="00B57060"/>
    <w:rsid w:val="00B6046E"/>
    <w:rsid w:val="00B60527"/>
    <w:rsid w:val="00B60885"/>
    <w:rsid w:val="00B608A1"/>
    <w:rsid w:val="00B6358E"/>
    <w:rsid w:val="00B74740"/>
    <w:rsid w:val="00B75E85"/>
    <w:rsid w:val="00B75F0D"/>
    <w:rsid w:val="00B81230"/>
    <w:rsid w:val="00B81A5A"/>
    <w:rsid w:val="00B84757"/>
    <w:rsid w:val="00B84F45"/>
    <w:rsid w:val="00B85047"/>
    <w:rsid w:val="00B91225"/>
    <w:rsid w:val="00B91AD7"/>
    <w:rsid w:val="00B91ED1"/>
    <w:rsid w:val="00B92D47"/>
    <w:rsid w:val="00B93F1B"/>
    <w:rsid w:val="00B951B5"/>
    <w:rsid w:val="00B95794"/>
    <w:rsid w:val="00B974BE"/>
    <w:rsid w:val="00B97EBF"/>
    <w:rsid w:val="00BA0041"/>
    <w:rsid w:val="00BA1B4A"/>
    <w:rsid w:val="00BA770B"/>
    <w:rsid w:val="00BA7C6B"/>
    <w:rsid w:val="00BB0B08"/>
    <w:rsid w:val="00BB4E70"/>
    <w:rsid w:val="00BB62B7"/>
    <w:rsid w:val="00BB62CE"/>
    <w:rsid w:val="00BC0728"/>
    <w:rsid w:val="00BC106F"/>
    <w:rsid w:val="00BC2218"/>
    <w:rsid w:val="00BC38DE"/>
    <w:rsid w:val="00BC3EE7"/>
    <w:rsid w:val="00BC3FE3"/>
    <w:rsid w:val="00BC4D6F"/>
    <w:rsid w:val="00BC61B9"/>
    <w:rsid w:val="00BC6326"/>
    <w:rsid w:val="00BC6C5B"/>
    <w:rsid w:val="00BD0E02"/>
    <w:rsid w:val="00BD2D8C"/>
    <w:rsid w:val="00BD2EEF"/>
    <w:rsid w:val="00BD30BC"/>
    <w:rsid w:val="00BD3C28"/>
    <w:rsid w:val="00BD66EA"/>
    <w:rsid w:val="00BE0107"/>
    <w:rsid w:val="00BE23CD"/>
    <w:rsid w:val="00BE30D5"/>
    <w:rsid w:val="00BE3995"/>
    <w:rsid w:val="00BE45ED"/>
    <w:rsid w:val="00BF02E4"/>
    <w:rsid w:val="00BF51F2"/>
    <w:rsid w:val="00BF5712"/>
    <w:rsid w:val="00BF7A9F"/>
    <w:rsid w:val="00BF7CFF"/>
    <w:rsid w:val="00C01474"/>
    <w:rsid w:val="00C06A5B"/>
    <w:rsid w:val="00C11CCB"/>
    <w:rsid w:val="00C14A0E"/>
    <w:rsid w:val="00C15320"/>
    <w:rsid w:val="00C174CE"/>
    <w:rsid w:val="00C20535"/>
    <w:rsid w:val="00C21B9C"/>
    <w:rsid w:val="00C2357D"/>
    <w:rsid w:val="00C24EEB"/>
    <w:rsid w:val="00C301DA"/>
    <w:rsid w:val="00C303F5"/>
    <w:rsid w:val="00C33853"/>
    <w:rsid w:val="00C3441D"/>
    <w:rsid w:val="00C36CC7"/>
    <w:rsid w:val="00C42F29"/>
    <w:rsid w:val="00C431F2"/>
    <w:rsid w:val="00C43D36"/>
    <w:rsid w:val="00C44FE4"/>
    <w:rsid w:val="00C455A9"/>
    <w:rsid w:val="00C4791E"/>
    <w:rsid w:val="00C52F2A"/>
    <w:rsid w:val="00C576BA"/>
    <w:rsid w:val="00C57DFE"/>
    <w:rsid w:val="00C60DAE"/>
    <w:rsid w:val="00C6181D"/>
    <w:rsid w:val="00C65482"/>
    <w:rsid w:val="00C672B8"/>
    <w:rsid w:val="00C67E3F"/>
    <w:rsid w:val="00C718EE"/>
    <w:rsid w:val="00C72184"/>
    <w:rsid w:val="00C75481"/>
    <w:rsid w:val="00C759A6"/>
    <w:rsid w:val="00C806D4"/>
    <w:rsid w:val="00C8083D"/>
    <w:rsid w:val="00C815F7"/>
    <w:rsid w:val="00C84699"/>
    <w:rsid w:val="00C86DA1"/>
    <w:rsid w:val="00C87ABD"/>
    <w:rsid w:val="00C90182"/>
    <w:rsid w:val="00C901DE"/>
    <w:rsid w:val="00C90A00"/>
    <w:rsid w:val="00C939A0"/>
    <w:rsid w:val="00C95C67"/>
    <w:rsid w:val="00C97521"/>
    <w:rsid w:val="00CA0376"/>
    <w:rsid w:val="00CA057C"/>
    <w:rsid w:val="00CA0EA8"/>
    <w:rsid w:val="00CA12B1"/>
    <w:rsid w:val="00CA1BCA"/>
    <w:rsid w:val="00CA273D"/>
    <w:rsid w:val="00CA283D"/>
    <w:rsid w:val="00CB25E4"/>
    <w:rsid w:val="00CB2CE7"/>
    <w:rsid w:val="00CB62E0"/>
    <w:rsid w:val="00CB737E"/>
    <w:rsid w:val="00CC0F71"/>
    <w:rsid w:val="00CC2A50"/>
    <w:rsid w:val="00CC3EB9"/>
    <w:rsid w:val="00CC46B7"/>
    <w:rsid w:val="00CC7400"/>
    <w:rsid w:val="00CD01C0"/>
    <w:rsid w:val="00CD2887"/>
    <w:rsid w:val="00CD44F0"/>
    <w:rsid w:val="00CD59B1"/>
    <w:rsid w:val="00CE21E8"/>
    <w:rsid w:val="00CE42F6"/>
    <w:rsid w:val="00CE72BD"/>
    <w:rsid w:val="00CF190A"/>
    <w:rsid w:val="00CF1C6E"/>
    <w:rsid w:val="00CF5C6D"/>
    <w:rsid w:val="00D000D8"/>
    <w:rsid w:val="00D00239"/>
    <w:rsid w:val="00D010A1"/>
    <w:rsid w:val="00D06634"/>
    <w:rsid w:val="00D10C3E"/>
    <w:rsid w:val="00D11BCA"/>
    <w:rsid w:val="00D121B9"/>
    <w:rsid w:val="00D2755B"/>
    <w:rsid w:val="00D27CF8"/>
    <w:rsid w:val="00D367AB"/>
    <w:rsid w:val="00D374D1"/>
    <w:rsid w:val="00D4042B"/>
    <w:rsid w:val="00D40587"/>
    <w:rsid w:val="00D416F1"/>
    <w:rsid w:val="00D43E71"/>
    <w:rsid w:val="00D446D3"/>
    <w:rsid w:val="00D4760A"/>
    <w:rsid w:val="00D5100D"/>
    <w:rsid w:val="00D510F7"/>
    <w:rsid w:val="00D51F6E"/>
    <w:rsid w:val="00D525ED"/>
    <w:rsid w:val="00D52D22"/>
    <w:rsid w:val="00D57B74"/>
    <w:rsid w:val="00D658A8"/>
    <w:rsid w:val="00D71F03"/>
    <w:rsid w:val="00D72495"/>
    <w:rsid w:val="00D755DF"/>
    <w:rsid w:val="00D7640B"/>
    <w:rsid w:val="00D7682C"/>
    <w:rsid w:val="00D77716"/>
    <w:rsid w:val="00D80549"/>
    <w:rsid w:val="00D81667"/>
    <w:rsid w:val="00D854CE"/>
    <w:rsid w:val="00D90FED"/>
    <w:rsid w:val="00D915A9"/>
    <w:rsid w:val="00D92415"/>
    <w:rsid w:val="00D978BF"/>
    <w:rsid w:val="00D97F06"/>
    <w:rsid w:val="00DA198D"/>
    <w:rsid w:val="00DA2E7A"/>
    <w:rsid w:val="00DA4815"/>
    <w:rsid w:val="00DB1E2C"/>
    <w:rsid w:val="00DB277A"/>
    <w:rsid w:val="00DB3B71"/>
    <w:rsid w:val="00DB4660"/>
    <w:rsid w:val="00DB5C25"/>
    <w:rsid w:val="00DB5CCE"/>
    <w:rsid w:val="00DC06D0"/>
    <w:rsid w:val="00DC5004"/>
    <w:rsid w:val="00DC60B2"/>
    <w:rsid w:val="00DD31D9"/>
    <w:rsid w:val="00DD5404"/>
    <w:rsid w:val="00DD6519"/>
    <w:rsid w:val="00DD75C2"/>
    <w:rsid w:val="00DE16E5"/>
    <w:rsid w:val="00DF0DFD"/>
    <w:rsid w:val="00E01077"/>
    <w:rsid w:val="00E029F6"/>
    <w:rsid w:val="00E0399D"/>
    <w:rsid w:val="00E04031"/>
    <w:rsid w:val="00E056D9"/>
    <w:rsid w:val="00E07722"/>
    <w:rsid w:val="00E1006F"/>
    <w:rsid w:val="00E15A73"/>
    <w:rsid w:val="00E170A4"/>
    <w:rsid w:val="00E170CB"/>
    <w:rsid w:val="00E22121"/>
    <w:rsid w:val="00E22CD5"/>
    <w:rsid w:val="00E23143"/>
    <w:rsid w:val="00E241F4"/>
    <w:rsid w:val="00E245E7"/>
    <w:rsid w:val="00E26816"/>
    <w:rsid w:val="00E27A15"/>
    <w:rsid w:val="00E31C48"/>
    <w:rsid w:val="00E3589B"/>
    <w:rsid w:val="00E40138"/>
    <w:rsid w:val="00E40380"/>
    <w:rsid w:val="00E40E51"/>
    <w:rsid w:val="00E4223E"/>
    <w:rsid w:val="00E43A4D"/>
    <w:rsid w:val="00E44087"/>
    <w:rsid w:val="00E4501F"/>
    <w:rsid w:val="00E4508B"/>
    <w:rsid w:val="00E45F38"/>
    <w:rsid w:val="00E477C2"/>
    <w:rsid w:val="00E52D6E"/>
    <w:rsid w:val="00E541AE"/>
    <w:rsid w:val="00E54B0E"/>
    <w:rsid w:val="00E5519C"/>
    <w:rsid w:val="00E556AC"/>
    <w:rsid w:val="00E56A90"/>
    <w:rsid w:val="00E60BFC"/>
    <w:rsid w:val="00E62F59"/>
    <w:rsid w:val="00E658FC"/>
    <w:rsid w:val="00E717DF"/>
    <w:rsid w:val="00E72DCF"/>
    <w:rsid w:val="00E73384"/>
    <w:rsid w:val="00E8311C"/>
    <w:rsid w:val="00E857EE"/>
    <w:rsid w:val="00E87E9C"/>
    <w:rsid w:val="00E906AE"/>
    <w:rsid w:val="00E91655"/>
    <w:rsid w:val="00E92B37"/>
    <w:rsid w:val="00E944B4"/>
    <w:rsid w:val="00E960BB"/>
    <w:rsid w:val="00EA1052"/>
    <w:rsid w:val="00EA16DE"/>
    <w:rsid w:val="00EA3341"/>
    <w:rsid w:val="00EA33AD"/>
    <w:rsid w:val="00EA5C5E"/>
    <w:rsid w:val="00EB0FE9"/>
    <w:rsid w:val="00EB21C6"/>
    <w:rsid w:val="00EB2C90"/>
    <w:rsid w:val="00EB7F69"/>
    <w:rsid w:val="00EC0737"/>
    <w:rsid w:val="00EC2611"/>
    <w:rsid w:val="00EC306C"/>
    <w:rsid w:val="00EC368E"/>
    <w:rsid w:val="00EC6D9A"/>
    <w:rsid w:val="00ED5973"/>
    <w:rsid w:val="00ED61C1"/>
    <w:rsid w:val="00EE0C28"/>
    <w:rsid w:val="00EE0C2E"/>
    <w:rsid w:val="00EE12EE"/>
    <w:rsid w:val="00EE481D"/>
    <w:rsid w:val="00EE531C"/>
    <w:rsid w:val="00EE54EE"/>
    <w:rsid w:val="00EE5FEA"/>
    <w:rsid w:val="00EF135A"/>
    <w:rsid w:val="00EF161F"/>
    <w:rsid w:val="00EF2608"/>
    <w:rsid w:val="00EF4084"/>
    <w:rsid w:val="00EF5618"/>
    <w:rsid w:val="00EF5D8C"/>
    <w:rsid w:val="00EF75F6"/>
    <w:rsid w:val="00EF79C0"/>
    <w:rsid w:val="00F04A56"/>
    <w:rsid w:val="00F054EC"/>
    <w:rsid w:val="00F0558A"/>
    <w:rsid w:val="00F05BE5"/>
    <w:rsid w:val="00F05E3E"/>
    <w:rsid w:val="00F07C75"/>
    <w:rsid w:val="00F10405"/>
    <w:rsid w:val="00F126DC"/>
    <w:rsid w:val="00F14EFF"/>
    <w:rsid w:val="00F1599C"/>
    <w:rsid w:val="00F23EF3"/>
    <w:rsid w:val="00F301F8"/>
    <w:rsid w:val="00F31468"/>
    <w:rsid w:val="00F318C6"/>
    <w:rsid w:val="00F31EC7"/>
    <w:rsid w:val="00F3418A"/>
    <w:rsid w:val="00F347D8"/>
    <w:rsid w:val="00F35F04"/>
    <w:rsid w:val="00F42677"/>
    <w:rsid w:val="00F42994"/>
    <w:rsid w:val="00F43629"/>
    <w:rsid w:val="00F44407"/>
    <w:rsid w:val="00F46414"/>
    <w:rsid w:val="00F50B7F"/>
    <w:rsid w:val="00F5215D"/>
    <w:rsid w:val="00F52843"/>
    <w:rsid w:val="00F54952"/>
    <w:rsid w:val="00F6061C"/>
    <w:rsid w:val="00F60842"/>
    <w:rsid w:val="00F617B9"/>
    <w:rsid w:val="00F63571"/>
    <w:rsid w:val="00F71425"/>
    <w:rsid w:val="00F71B46"/>
    <w:rsid w:val="00F71F88"/>
    <w:rsid w:val="00F72C36"/>
    <w:rsid w:val="00F74118"/>
    <w:rsid w:val="00F767B6"/>
    <w:rsid w:val="00F80AC1"/>
    <w:rsid w:val="00F824DD"/>
    <w:rsid w:val="00F83BCA"/>
    <w:rsid w:val="00F84C5B"/>
    <w:rsid w:val="00F86AED"/>
    <w:rsid w:val="00F90569"/>
    <w:rsid w:val="00F92687"/>
    <w:rsid w:val="00F92863"/>
    <w:rsid w:val="00F9293E"/>
    <w:rsid w:val="00F92DCF"/>
    <w:rsid w:val="00F93AB4"/>
    <w:rsid w:val="00F94581"/>
    <w:rsid w:val="00F9502E"/>
    <w:rsid w:val="00F974E7"/>
    <w:rsid w:val="00FA1A50"/>
    <w:rsid w:val="00FA5278"/>
    <w:rsid w:val="00FA6997"/>
    <w:rsid w:val="00FB05BD"/>
    <w:rsid w:val="00FB1B96"/>
    <w:rsid w:val="00FB2EAA"/>
    <w:rsid w:val="00FB72BA"/>
    <w:rsid w:val="00FC088C"/>
    <w:rsid w:val="00FC1835"/>
    <w:rsid w:val="00FC475E"/>
    <w:rsid w:val="00FC48C0"/>
    <w:rsid w:val="00FC5082"/>
    <w:rsid w:val="00FC7D6F"/>
    <w:rsid w:val="00FD08CD"/>
    <w:rsid w:val="00FD0FBD"/>
    <w:rsid w:val="00FD2F40"/>
    <w:rsid w:val="00FD605E"/>
    <w:rsid w:val="00FD6692"/>
    <w:rsid w:val="00FD6D05"/>
    <w:rsid w:val="00FD7EF4"/>
    <w:rsid w:val="00FE1EFD"/>
    <w:rsid w:val="00FE3B41"/>
    <w:rsid w:val="00FE54F6"/>
    <w:rsid w:val="00FE6CFF"/>
    <w:rsid w:val="00FF48E7"/>
    <w:rsid w:val="00FF4CDA"/>
    <w:rsid w:val="00FF6165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2748"/>
  <w15:docId w15:val="{390FB673-C595-4523-90BD-9D09F26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plit-by-words">
    <w:name w:val="split-by-words"/>
    <w:basedOn w:val="a"/>
    <w:rsid w:val="009458C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458CC"/>
  </w:style>
  <w:style w:type="paragraph" w:styleId="aa">
    <w:name w:val="Normal (Web)"/>
    <w:basedOn w:val="a"/>
    <w:uiPriority w:val="99"/>
    <w:semiHidden/>
    <w:unhideWhenUsed/>
    <w:rsid w:val="00F93AB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206780610792384E-2"/>
          <c:y val="1.7178211727587323E-2"/>
          <c:w val="0.74103811852346768"/>
          <c:h val="0.900748517546417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поступления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F1F-4A9A-B18E-1B22F329B9D9}"/>
              </c:ext>
            </c:extLst>
          </c:dPt>
          <c:dLbls>
            <c:dLbl>
              <c:idx val="0"/>
              <c:layout>
                <c:manualLayout>
                  <c:x val="3.4375002819472013E-2"/>
                  <c:y val="-8.290457509065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F1F-4A9A-B18E-1B22F329B9D9}"/>
                </c:ext>
              </c:extLst>
            </c:dLbl>
            <c:dLbl>
              <c:idx val="1"/>
              <c:layout>
                <c:manualLayout>
                  <c:x val="3.9062503203945394E-2"/>
                  <c:y val="-6.6378601968040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F1F-4A9A-B18E-1B22F329B9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0.0</c:formatCode>
                <c:ptCount val="2"/>
                <c:pt idx="0">
                  <c:v>8463</c:v>
                </c:pt>
                <c:pt idx="1">
                  <c:v>9269.5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1F-4A9A-B18E-1B22F329B9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166669058945952E-2"/>
                  <c:y val="-9.4659210001576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F1F-4A9A-B18E-1B22F329B9D9}"/>
                </c:ext>
              </c:extLst>
            </c:dLbl>
            <c:dLbl>
              <c:idx val="1"/>
              <c:layout>
                <c:manualLayout>
                  <c:x val="2.7083335554735452E-2"/>
                  <c:y val="-7.345779657401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F1F-4A9A-B18E-1B22F329B9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Лист1!$C$2:$C$3</c:f>
              <c:numCache>
                <c:formatCode>0.0</c:formatCode>
                <c:ptCount val="2"/>
                <c:pt idx="0">
                  <c:v>15276.3</c:v>
                </c:pt>
                <c:pt idx="1">
                  <c:v>19683.400000000001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1F-4A9A-B18E-1B22F329B9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8768303"/>
        <c:axId val="111236015"/>
        <c:axId val="0"/>
      </c:bar3DChart>
      <c:catAx>
        <c:axId val="128768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236015"/>
        <c:crosses val="autoZero"/>
        <c:auto val="1"/>
        <c:lblAlgn val="ctr"/>
        <c:lblOffset val="100"/>
        <c:noMultiLvlLbl val="0"/>
      </c:catAx>
      <c:valAx>
        <c:axId val="111236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768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088739945066523"/>
          <c:y val="0.21907354173320928"/>
          <c:w val="0.18765434721157881"/>
          <c:h val="0.52858515280615737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>
                <a:solidFill>
                  <a:sysClr val="windowText" lastClr="000000"/>
                </a:solidFill>
              </a:rPr>
              <a:t>Динамика темпа роста доходов бюджета, %</a:t>
            </a:r>
            <a:endParaRPr lang="ru-RU" dirty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629416370942199"/>
          <c:y val="9.751358544970610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234865926050588E-2"/>
          <c:y val="0.20197356942247838"/>
          <c:w val="0.98511999868629563"/>
          <c:h val="0.6062923156503247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2608695652173912E-2"/>
                  <c:y val="-4.0876549224055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1A-40E0-85DF-CE1CA2CF8776}"/>
                </c:ext>
              </c:extLst>
            </c:dLbl>
            <c:dLbl>
              <c:idx val="1"/>
              <c:layout>
                <c:manualLayout>
                  <c:x val="-2.1739130434782608E-2"/>
                  <c:y val="3.6067543432990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B1A-40E0-85DF-CE1CA2CF8776}"/>
                </c:ext>
              </c:extLst>
            </c:dLbl>
            <c:dLbl>
              <c:idx val="2"/>
              <c:layout>
                <c:manualLayout>
                  <c:x val="-2.1739130434782653E-2"/>
                  <c:y val="3.6067543432990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B1A-40E0-85DF-CE1CA2CF8776}"/>
                </c:ext>
              </c:extLst>
            </c:dLbl>
            <c:dLbl>
              <c:idx val="3"/>
              <c:layout>
                <c:manualLayout>
                  <c:x val="-2.5362318840579753E-2"/>
                  <c:y val="3.3663040537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B1A-40E0-85DF-CE1CA2CF87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год</c:v>
                </c:pt>
                <c:pt idx="1">
                  <c:v>2021-2022 год</c:v>
                </c:pt>
                <c:pt idx="2">
                  <c:v>2022-2023 год</c:v>
                </c:pt>
                <c:pt idx="3">
                  <c:v>2023-2024 год</c:v>
                </c:pt>
                <c:pt idx="4">
                  <c:v>1 полугодие 2024-1 полугодие 2025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117.4</c:v>
                </c:pt>
                <c:pt idx="1">
                  <c:v>109.7</c:v>
                </c:pt>
                <c:pt idx="2">
                  <c:v>112</c:v>
                </c:pt>
                <c:pt idx="3">
                  <c:v>110.9</c:v>
                </c:pt>
                <c:pt idx="4">
                  <c:v>109.5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1A-40E0-85DF-CE1CA2CF87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Дотации,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lg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32367149758454E-2"/>
                  <c:y val="3.1258537641924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B1A-40E0-85DF-CE1CA2CF8776}"/>
                </c:ext>
              </c:extLst>
            </c:dLbl>
            <c:dLbl>
              <c:idx val="1"/>
              <c:layout>
                <c:manualLayout>
                  <c:x val="-4.262096731916503E-2"/>
                  <c:y val="-4.4483492898291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86817227074311E-2"/>
                      <c:h val="6.27575255734029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B1A-40E0-85DF-CE1CA2CF8776}"/>
                </c:ext>
              </c:extLst>
            </c:dLbl>
            <c:dLbl>
              <c:idx val="2"/>
              <c:layout>
                <c:manualLayout>
                  <c:x val="-2.0531400966183576E-2"/>
                  <c:y val="-3.1258537641924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B1A-40E0-85DF-CE1CA2CF8776}"/>
                </c:ext>
              </c:extLst>
            </c:dLbl>
            <c:dLbl>
              <c:idx val="3"/>
              <c:layout>
                <c:manualLayout>
                  <c:x val="-2.4154589371980721E-2"/>
                  <c:y val="-2.644953185085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B1A-40E0-85DF-CE1CA2CF87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год</c:v>
                </c:pt>
                <c:pt idx="1">
                  <c:v>2021-2022 год</c:v>
                </c:pt>
                <c:pt idx="2">
                  <c:v>2022-2023 год</c:v>
                </c:pt>
                <c:pt idx="3">
                  <c:v>2023-2024 год</c:v>
                </c:pt>
                <c:pt idx="4">
                  <c:v>1 полугодие 2024-1 полугодие 2025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</c:v>
                </c:pt>
                <c:pt idx="1">
                  <c:v>116.9</c:v>
                </c:pt>
                <c:pt idx="2">
                  <c:v>126.6</c:v>
                </c:pt>
                <c:pt idx="3">
                  <c:v>132.69999999999999</c:v>
                </c:pt>
                <c:pt idx="4">
                  <c:v>127.3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B1A-40E0-85DF-CE1CA2CF87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Межбюджетные трансферты, %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4154589371980686E-2"/>
                  <c:y val="-2.6449531850859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B1A-40E0-85DF-CE1CA2CF8776}"/>
                </c:ext>
              </c:extLst>
            </c:dLbl>
            <c:dLbl>
              <c:idx val="1"/>
              <c:layout>
                <c:manualLayout>
                  <c:x val="-2.6570048309178765E-2"/>
                  <c:y val="-3.3663040537457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B1A-40E0-85DF-CE1CA2CF8776}"/>
                </c:ext>
              </c:extLst>
            </c:dLbl>
            <c:dLbl>
              <c:idx val="3"/>
              <c:layout>
                <c:manualLayout>
                  <c:x val="-2.5362318840579753E-2"/>
                  <c:y val="3.1258537641924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B1A-40E0-85DF-CE1CA2CF8776}"/>
                </c:ext>
              </c:extLst>
            </c:dLbl>
            <c:dLbl>
              <c:idx val="4"/>
              <c:layout>
                <c:manualLayout>
                  <c:x val="-1.932367149758454E-2"/>
                  <c:y val="-3.6067543432990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B1A-40E0-85DF-CE1CA2CF87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 год</c:v>
                </c:pt>
                <c:pt idx="1">
                  <c:v>2021-2022 год</c:v>
                </c:pt>
                <c:pt idx="2">
                  <c:v>2022-2023 год</c:v>
                </c:pt>
                <c:pt idx="3">
                  <c:v>2023-2024 год</c:v>
                </c:pt>
                <c:pt idx="4">
                  <c:v>1 полугодие 2024-1 полугодие 2025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187.6</c:v>
                </c:pt>
                <c:pt idx="1">
                  <c:v>152.1</c:v>
                </c:pt>
                <c:pt idx="2">
                  <c:v>184</c:v>
                </c:pt>
                <c:pt idx="3">
                  <c:v>60.1</c:v>
                </c:pt>
                <c:pt idx="4">
                  <c:v>136.1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CB1A-40E0-85DF-CE1CA2CF8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234696"/>
        <c:axId val="163232400"/>
      </c:lineChart>
      <c:catAx>
        <c:axId val="16323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232400"/>
        <c:crosses val="autoZero"/>
        <c:auto val="1"/>
        <c:lblAlgn val="ctr"/>
        <c:lblOffset val="100"/>
        <c:noMultiLvlLbl val="0"/>
      </c:catAx>
      <c:valAx>
        <c:axId val="163232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3234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837641505080854E-2"/>
          <c:y val="0"/>
          <c:w val="0.9082500089722424"/>
          <c:h val="0.8499528672270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1.01.2025 г.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2501032964738202E-3"/>
                  <c:y val="1.2163399469024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F83-40A7-A22A-F5659F7460C7}"/>
                </c:ext>
              </c:extLst>
            </c:dLbl>
            <c:dLbl>
              <c:idx val="5"/>
              <c:layout>
                <c:manualLayout>
                  <c:x val="-1.13336087905968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F83-40A7-A22A-F5659F7460C7}"/>
                </c:ext>
              </c:extLst>
            </c:dLbl>
            <c:spPr>
              <a:noFill/>
              <a:ln w="2535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</c:v>
                </c:pt>
                <c:pt idx="1">
                  <c:v>НДС</c:v>
                </c:pt>
                <c:pt idx="2">
                  <c:v>Единый с/х</c:v>
                </c:pt>
                <c:pt idx="3">
                  <c:v>Налог на прибыль</c:v>
                </c:pt>
                <c:pt idx="4">
                  <c:v>Дивиденды на доди (акции), находящиеся в госсобственности</c:v>
                </c:pt>
                <c:pt idx="5">
                  <c:v>Транспортный налог</c:v>
                </c:pt>
                <c:pt idx="6">
                  <c:v>ПН с физических лиц</c:v>
                </c:pt>
                <c:pt idx="7">
                  <c:v>Единый имущественный налог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188.4</c:v>
                </c:pt>
                <c:pt idx="1">
                  <c:v>114.7</c:v>
                </c:pt>
                <c:pt idx="2">
                  <c:v>20.9</c:v>
                </c:pt>
                <c:pt idx="3">
                  <c:v>0</c:v>
                </c:pt>
                <c:pt idx="4">
                  <c:v>0.6</c:v>
                </c:pt>
                <c:pt idx="5">
                  <c:v>3.6</c:v>
                </c:pt>
                <c:pt idx="6">
                  <c:v>22.9</c:v>
                </c:pt>
                <c:pt idx="7">
                  <c:v>19.3</c:v>
                </c:pt>
                <c:pt idx="8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83-40A7-A22A-F5659F7460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1.07.2025 г.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0606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CF83-40A7-A22A-F5659F7460C7}"/>
              </c:ext>
            </c:extLst>
          </c:dPt>
          <c:dPt>
            <c:idx val="1"/>
            <c:invertIfNegative val="0"/>
            <c:bubble3D val="0"/>
            <c:spPr>
              <a:solidFill>
                <a:srgbClr val="60606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CF83-40A7-A22A-F5659F7460C7}"/>
              </c:ext>
            </c:extLst>
          </c:dPt>
          <c:dPt>
            <c:idx val="2"/>
            <c:invertIfNegative val="0"/>
            <c:bubble3D val="0"/>
            <c:spPr>
              <a:solidFill>
                <a:srgbClr val="60606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CF83-40A7-A22A-F5659F7460C7}"/>
              </c:ext>
            </c:extLst>
          </c:dPt>
          <c:dPt>
            <c:idx val="5"/>
            <c:invertIfNegative val="0"/>
            <c:bubble3D val="0"/>
            <c:spPr>
              <a:solidFill>
                <a:srgbClr val="60606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CF83-40A7-A22A-F5659F7460C7}"/>
              </c:ext>
            </c:extLst>
          </c:dPt>
          <c:dPt>
            <c:idx val="6"/>
            <c:invertIfNegative val="0"/>
            <c:bubble3D val="0"/>
            <c:spPr>
              <a:solidFill>
                <a:srgbClr val="60606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CF83-40A7-A22A-F5659F7460C7}"/>
              </c:ext>
            </c:extLst>
          </c:dPt>
          <c:dLbls>
            <c:dLbl>
              <c:idx val="0"/>
              <c:layout>
                <c:manualLayout>
                  <c:x val="9.9169076917722202E-3"/>
                  <c:y val="-3.71655134828361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F83-40A7-A22A-F5659F7460C7}"/>
                </c:ext>
              </c:extLst>
            </c:dLbl>
            <c:dLbl>
              <c:idx val="1"/>
              <c:layout>
                <c:manualLayout>
                  <c:x val="8.5002065929475883E-3"/>
                  <c:y val="2.0272332448373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F83-40A7-A22A-F5659F7460C7}"/>
                </c:ext>
              </c:extLst>
            </c:dLbl>
            <c:dLbl>
              <c:idx val="2"/>
              <c:layout>
                <c:manualLayout>
                  <c:x val="1.13336087905968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F83-40A7-A22A-F5659F7460C7}"/>
                </c:ext>
              </c:extLst>
            </c:dLbl>
            <c:dLbl>
              <c:idx val="5"/>
              <c:layout>
                <c:manualLayout>
                  <c:x val="1.1333608790596852E-2"/>
                  <c:y val="-2.0272332448374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CF83-40A7-A22A-F5659F7460C7}"/>
                </c:ext>
              </c:extLst>
            </c:dLbl>
            <c:dLbl>
              <c:idx val="6"/>
              <c:layout>
                <c:manualLayout>
                  <c:x val="8.500206592947640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CF83-40A7-A22A-F5659F7460C7}"/>
                </c:ext>
              </c:extLst>
            </c:dLbl>
            <c:spPr>
              <a:noFill/>
              <a:ln w="2535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</c:v>
                </c:pt>
                <c:pt idx="1">
                  <c:v>НДС</c:v>
                </c:pt>
                <c:pt idx="2">
                  <c:v>Единый с/х</c:v>
                </c:pt>
                <c:pt idx="3">
                  <c:v>Налог на прибыль</c:v>
                </c:pt>
                <c:pt idx="4">
                  <c:v>Дивиденды на доди (акции), находящиеся в госсобственности</c:v>
                </c:pt>
                <c:pt idx="5">
                  <c:v>Транспортный налог</c:v>
                </c:pt>
                <c:pt idx="6">
                  <c:v>ПН с физических лиц</c:v>
                </c:pt>
                <c:pt idx="7">
                  <c:v>Единый имущественный налог</c:v>
                </c:pt>
                <c:pt idx="8">
                  <c:v>Прочие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102.6</c:v>
                </c:pt>
                <c:pt idx="1">
                  <c:v>17.899999999999999</c:v>
                </c:pt>
                <c:pt idx="2">
                  <c:v>11.4</c:v>
                </c:pt>
                <c:pt idx="3">
                  <c:v>13.9</c:v>
                </c:pt>
                <c:pt idx="4">
                  <c:v>14.6</c:v>
                </c:pt>
                <c:pt idx="5">
                  <c:v>7.4</c:v>
                </c:pt>
                <c:pt idx="6">
                  <c:v>22.5</c:v>
                </c:pt>
                <c:pt idx="7">
                  <c:v>10.199999999999999</c:v>
                </c:pt>
                <c:pt idx="8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F83-40A7-A22A-F5659F746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2685192"/>
        <c:axId val="1"/>
      </c:barChart>
      <c:catAx>
        <c:axId val="10268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600" b="1" baseline="0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49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02685192"/>
        <c:crosses val="autoZero"/>
        <c:crossBetween val="between"/>
      </c:valAx>
      <c:spPr>
        <a:noFill/>
        <a:ln w="25357">
          <a:noFill/>
        </a:ln>
      </c:spPr>
    </c:plotArea>
    <c:legend>
      <c:legendPos val="b"/>
      <c:layout>
        <c:manualLayout>
          <c:xMode val="edge"/>
          <c:yMode val="edge"/>
          <c:x val="0.78257997472391128"/>
          <c:y val="0.12609016119675526"/>
          <c:w val="0.21742001345309225"/>
          <c:h val="0.41216427656687837"/>
        </c:manualLayout>
      </c:layout>
      <c:overlay val="0"/>
      <c:spPr>
        <a:noFill/>
        <a:ln w="2535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280842195524411E-2"/>
          <c:y val="9.0339188950054286E-2"/>
          <c:w val="0.57119500131783185"/>
          <c:h val="0.788951489093057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4C72-4BE8-B852-2A36D2BC61A5}"/>
              </c:ext>
            </c:extLst>
          </c:dPt>
          <c:dPt>
            <c:idx val="1"/>
            <c:bubble3D val="0"/>
            <c:explosion val="18"/>
            <c:extLst>
              <c:ext xmlns:c16="http://schemas.microsoft.com/office/drawing/2014/chart" uri="{C3380CC4-5D6E-409C-BE32-E72D297353CC}">
                <c16:uniqueId val="{00000003-4C72-4BE8-B852-2A36D2BC61A5}"/>
              </c:ext>
            </c:extLst>
          </c:dPt>
          <c:dPt>
            <c:idx val="2"/>
            <c:bubble3D val="0"/>
            <c:explosion val="6"/>
            <c:spPr>
              <a:solidFill>
                <a:srgbClr val="FF3399"/>
              </a:solidFill>
            </c:spPr>
            <c:extLst>
              <c:ext xmlns:c16="http://schemas.microsoft.com/office/drawing/2014/chart" uri="{C3380CC4-5D6E-409C-BE32-E72D297353CC}">
                <c16:uniqueId val="{00000005-4C72-4BE8-B852-2A36D2BC61A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4C72-4BE8-B852-2A36D2BC61A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4C72-4BE8-B852-2A36D2BC61A5}"/>
              </c:ext>
            </c:extLst>
          </c:dPt>
          <c:dPt>
            <c:idx val="5"/>
            <c:bubble3D val="0"/>
            <c:explosion val="9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9-4C72-4BE8-B852-2A36D2BC61A5}"/>
              </c:ext>
            </c:extLst>
          </c:dPt>
          <c:dPt>
            <c:idx val="6"/>
            <c:bubble3D val="0"/>
            <c:spPr>
              <a:solidFill>
                <a:srgbClr val="0000FF"/>
              </a:solidFill>
            </c:spPr>
            <c:extLst>
              <c:ext xmlns:c16="http://schemas.microsoft.com/office/drawing/2014/chart" uri="{C3380CC4-5D6E-409C-BE32-E72D297353CC}">
                <c16:uniqueId val="{0000000B-4C72-4BE8-B852-2A36D2BC61A5}"/>
              </c:ext>
            </c:extLst>
          </c:dPt>
          <c:dLbls>
            <c:dLbl>
              <c:idx val="0"/>
              <c:layout>
                <c:manualLayout>
                  <c:x val="2.0581680762126957E-2"/>
                  <c:y val="-6.8963003011734747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72-4BE8-B852-2A36D2BC61A5}"/>
                </c:ext>
              </c:extLst>
            </c:dLbl>
            <c:dLbl>
              <c:idx val="1"/>
              <c:layout>
                <c:manualLayout>
                  <c:x val="5.1781496062992066E-2"/>
                  <c:y val="2.8909206725728866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C72-4BE8-B852-2A36D2BC61A5}"/>
                </c:ext>
              </c:extLst>
            </c:dLbl>
            <c:dLbl>
              <c:idx val="2"/>
              <c:layout>
                <c:manualLayout>
                  <c:x val="1.8274399727811801E-2"/>
                  <c:y val="6.3012446191009513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C72-4BE8-B852-2A36D2BC61A5}"/>
                </c:ext>
              </c:extLst>
            </c:dLbl>
            <c:dLbl>
              <c:idx val="3"/>
              <c:layout>
                <c:manualLayout>
                  <c:x val="-6.1254495965782057E-4"/>
                  <c:y val="0.12492236458848648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C72-4BE8-B852-2A36D2BC61A5}"/>
                </c:ext>
              </c:extLst>
            </c:dLbl>
            <c:dLbl>
              <c:idx val="4"/>
              <c:layout>
                <c:manualLayout>
                  <c:x val="3.8058957908039272E-3"/>
                  <c:y val="1.1339686161817937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C72-4BE8-B852-2A36D2BC61A5}"/>
                </c:ext>
              </c:extLst>
            </c:dLbl>
            <c:dLbl>
              <c:idx val="5"/>
              <c:layout>
                <c:manualLayout>
                  <c:x val="1.8518518518518517E-2"/>
                  <c:y val="-0.15357770269001317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C72-4BE8-B852-2A36D2BC61A5}"/>
                </c:ext>
              </c:extLst>
            </c:dLbl>
            <c:dLbl>
              <c:idx val="6"/>
              <c:layout>
                <c:manualLayout>
                  <c:x val="1.0325167687372412E-2"/>
                  <c:y val="-0.15121842578032565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C72-4BE8-B852-2A36D2BC61A5}"/>
                </c:ext>
              </c:extLst>
            </c:dLbl>
            <c:spPr>
              <a:noFill/>
              <a:ln w="26537">
                <a:noFill/>
              </a:ln>
            </c:spPr>
            <c:txPr>
              <a:bodyPr/>
              <a:lstStyle/>
              <a:p>
                <a:pPr>
                  <a:defRPr sz="14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общегосударственная деятельность</c:v>
                </c:pt>
                <c:pt idx="3">
                  <c:v>национальная экономика</c:v>
                </c:pt>
                <c:pt idx="4">
                  <c:v>жилищно-коммунальные услуги и строительство</c:v>
                </c:pt>
                <c:pt idx="5">
                  <c:v>здравоохранение</c:v>
                </c:pt>
                <c:pt idx="6">
                  <c:v>физическая культура,культура,сми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0.35</c:v>
                </c:pt>
                <c:pt idx="1">
                  <c:v>5.0999999999999997E-2</c:v>
                </c:pt>
                <c:pt idx="2">
                  <c:v>0.123</c:v>
                </c:pt>
                <c:pt idx="3">
                  <c:v>0.10100000000000001</c:v>
                </c:pt>
                <c:pt idx="4">
                  <c:v>0.1</c:v>
                </c:pt>
                <c:pt idx="5">
                  <c:v>0.19600000000000001</c:v>
                </c:pt>
                <c:pt idx="6">
                  <c:v>7.9000000000000001E-2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C72-4BE8-B852-2A36D2BC6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7360">
          <a:noFill/>
        </a:ln>
      </c:spPr>
    </c:plotArea>
    <c:legend>
      <c:legendPos val="r"/>
      <c:layout>
        <c:manualLayout>
          <c:xMode val="edge"/>
          <c:yMode val="edge"/>
          <c:x val="0.70823398771986079"/>
          <c:y val="3.8538351586507098E-2"/>
          <c:w val="0.25703827745513708"/>
          <c:h val="0.88395882203529119"/>
        </c:manualLayout>
      </c:layout>
      <c:overlay val="0"/>
      <c:txPr>
        <a:bodyPr/>
        <a:lstStyle/>
        <a:p>
          <a:pPr>
            <a:defRPr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879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92435854161939E-2"/>
          <c:y val="0.13735021484625135"/>
          <c:w val="0.92457467588160758"/>
          <c:h val="0.623387990690731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7030A0"/>
              </a:solidFill>
            </a:ln>
            <a:effectLst>
              <a:outerShdw blurRad="50800" dist="50800" dir="5400000" algn="ctr" rotWithShape="0">
                <a:srgbClr val="7030A0"/>
              </a:outerShdw>
            </a:effectLst>
          </c:spPr>
          <c:invertIfNegative val="0"/>
          <c:dLbls>
            <c:dLbl>
              <c:idx val="0"/>
              <c:layout>
                <c:manualLayout>
                  <c:x val="1.6791044776119438E-2"/>
                  <c:y val="-3.2158317872603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72-4C5B-BF12-6E752647CAD8}"/>
                </c:ext>
              </c:extLst>
            </c:dLbl>
            <c:dLbl>
              <c:idx val="1"/>
              <c:layout>
                <c:manualLayout>
                  <c:x val="2.5248854154424728E-2"/>
                  <c:y val="-4.0440983838059205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72-4C5B-BF12-6E752647CAD8}"/>
                </c:ext>
              </c:extLst>
            </c:dLbl>
            <c:spPr>
              <a:noFill/>
              <a:ln w="28910">
                <a:noFill/>
              </a:ln>
            </c:spPr>
            <c:txPr>
              <a:bodyPr/>
              <a:lstStyle/>
              <a:p>
                <a:pPr>
                  <a:defRPr sz="14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взносы на соц.страхование</c:v>
                </c:pt>
                <c:pt idx="1">
                  <c:v>оплата транспортных услуг</c:v>
                </c:pt>
                <c:pt idx="2">
                  <c:v>коммунальные платежи</c:v>
                </c:pt>
                <c:pt idx="3">
                  <c:v>текущий ремонт зданий и помещений</c:v>
                </c:pt>
                <c:pt idx="4">
                  <c:v>уличное освещение населенных пунктов</c:v>
                </c:pt>
                <c:pt idx="5">
                  <c:v>прочие расходы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12.2</c:v>
                </c:pt>
                <c:pt idx="1">
                  <c:v>5.4</c:v>
                </c:pt>
                <c:pt idx="2">
                  <c:v>8.5</c:v>
                </c:pt>
                <c:pt idx="3">
                  <c:v>3.5</c:v>
                </c:pt>
                <c:pt idx="4">
                  <c:v>1.2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72-4C5B-BF12-6E752647C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4"/>
        <c:gapDepth val="120"/>
        <c:shape val="cylinder"/>
        <c:axId val="102753192"/>
        <c:axId val="1"/>
        <c:axId val="0"/>
      </c:bar3DChart>
      <c:dateAx>
        <c:axId val="10275319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8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0"/>
        <c:lblOffset val="100"/>
        <c:baseTimeUnit val="days"/>
      </c:dateAx>
      <c:valAx>
        <c:axId val="1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2753192"/>
        <c:crosses val="autoZero"/>
        <c:crossBetween val="between"/>
      </c:valAx>
      <c:spPr>
        <a:noFill/>
        <a:ln w="25376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2048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92435854161939E-2"/>
          <c:y val="0.13735021484625135"/>
          <c:w val="0.92457467588160758"/>
          <c:h val="0.623387990690731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7030A0"/>
              </a:solidFill>
            </a:ln>
            <a:effectLst>
              <a:outerShdw blurRad="50800" dist="50800" dir="5400000" algn="ctr" rotWithShape="0">
                <a:srgbClr val="7030A0"/>
              </a:outerShdw>
            </a:effectLst>
          </c:spPr>
          <c:invertIfNegative val="0"/>
          <c:dLbls>
            <c:dLbl>
              <c:idx val="0"/>
              <c:layout>
                <c:manualLayout>
                  <c:x val="1.6791044776119438E-2"/>
                  <c:y val="-3.2158317872603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A53-4B79-AB76-650AF53A93AC}"/>
                </c:ext>
              </c:extLst>
            </c:dLbl>
            <c:dLbl>
              <c:idx val="1"/>
              <c:layout>
                <c:manualLayout>
                  <c:x val="2.5248854154424728E-2"/>
                  <c:y val="-4.0440983838059205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A53-4B79-AB76-650AF53A93A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E27B4B70-A648-490C-9686-8D82154FAA9B}" type="VALUE">
                      <a:rPr lang="en-US" smtClean="0"/>
                      <a:pPr/>
                      <a:t>[ЗНАЧЕНИЕ]</a:t>
                    </a:fld>
                    <a:r>
                      <a:rPr lang="en-US" smtClean="0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A53-4B79-AB76-650AF53A93A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C6018E9A-E233-4876-BA48-0BE225F4BF00}" type="VALUE">
                      <a:rPr lang="en-US" smtClean="0"/>
                      <a:pPr/>
                      <a:t>[ЗНАЧЕНИЕ]</a:t>
                    </a:fld>
                    <a:r>
                      <a:rPr lang="en-US" smtClean="0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A53-4B79-AB76-650AF53A93AC}"/>
                </c:ext>
              </c:extLst>
            </c:dLbl>
            <c:spPr>
              <a:noFill/>
              <a:ln w="28910">
                <a:noFill/>
              </a:ln>
            </c:spPr>
            <c:txPr>
              <a:bodyPr/>
              <a:lstStyle/>
              <a:p>
                <a:pPr>
                  <a:defRPr sz="14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содержание объектов благоустройства</c:v>
                </c:pt>
                <c:pt idx="1">
                  <c:v>текущий ремонт кровель</c:v>
                </c:pt>
                <c:pt idx="2">
                  <c:v>транспортные услуги</c:v>
                </c:pt>
                <c:pt idx="3">
                  <c:v>коммунальные услуги</c:v>
                </c:pt>
                <c:pt idx="4">
                  <c:v>текущий ремонт жилфонда</c:v>
                </c:pt>
                <c:pt idx="5">
                  <c:v>прочие расходы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134.1</c:v>
                </c:pt>
                <c:pt idx="1">
                  <c:v>18.2</c:v>
                </c:pt>
                <c:pt idx="2">
                  <c:v>74</c:v>
                </c:pt>
                <c:pt idx="3">
                  <c:v>47.2</c:v>
                </c:pt>
                <c:pt idx="4">
                  <c:v>7</c:v>
                </c:pt>
                <c:pt idx="5">
                  <c:v>34.1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53-4B79-AB76-650AF53A9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4"/>
        <c:gapDepth val="120"/>
        <c:shape val="cylinder"/>
        <c:axId val="102753192"/>
        <c:axId val="1"/>
        <c:axId val="0"/>
      </c:bar3DChart>
      <c:dateAx>
        <c:axId val="10275319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0"/>
        <c:lblOffset val="100"/>
        <c:baseTimeUnit val="days"/>
      </c:dateAx>
      <c:valAx>
        <c:axId val="1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02753192"/>
        <c:crosses val="autoZero"/>
        <c:crossBetween val="between"/>
      </c:valAx>
      <c:spPr>
        <a:noFill/>
        <a:ln w="25376">
          <a:noFill/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2048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826680657333872"/>
          <c:y val="0"/>
        </c:manualLayout>
      </c:layout>
      <c:overlay val="0"/>
      <c:spPr>
        <a:noFill/>
        <a:ln w="27927">
          <a:noFill/>
        </a:ln>
      </c:spPr>
      <c:txPr>
        <a:bodyPr rot="0" spcFirstLastPara="1" vertOverflow="ellipsis" vert="horz" wrap="square" anchor="ctr" anchorCtr="1"/>
        <a:lstStyle/>
        <a:p>
          <a:pPr>
            <a:defRPr sz="3073" b="1" i="0" u="none" strike="noStrike" kern="1200" spc="0" baseline="0"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485181133720186"/>
          <c:y val="9.6555583861379315E-2"/>
          <c:w val="0.39182526727799477"/>
          <c:h val="0.810411397530205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B050"/>
              </a:solidFill>
              <a:ln w="27927">
                <a:noFill/>
              </a:ln>
            </c:spPr>
            <c:extLst>
              <c:ext xmlns:c16="http://schemas.microsoft.com/office/drawing/2014/chart" uri="{C3380CC4-5D6E-409C-BE32-E72D297353CC}">
                <c16:uniqueId val="{00000001-329F-4A82-99EA-CD5476696E28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7927">
                <a:noFill/>
              </a:ln>
            </c:spPr>
            <c:extLst>
              <c:ext xmlns:c16="http://schemas.microsoft.com/office/drawing/2014/chart" uri="{C3380CC4-5D6E-409C-BE32-E72D297353CC}">
                <c16:uniqueId val="{00000003-329F-4A82-99EA-CD5476696E28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7927">
                <a:noFill/>
              </a:ln>
            </c:spPr>
            <c:extLst>
              <c:ext xmlns:c16="http://schemas.microsoft.com/office/drawing/2014/chart" uri="{C3380CC4-5D6E-409C-BE32-E72D297353CC}">
                <c16:uniqueId val="{00000005-329F-4A82-99EA-CD5476696E28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 w="27927">
                <a:noFill/>
              </a:ln>
            </c:spPr>
            <c:extLst>
              <c:ext xmlns:c16="http://schemas.microsoft.com/office/drawing/2014/chart" uri="{C3380CC4-5D6E-409C-BE32-E72D297353CC}">
                <c16:uniqueId val="{00000007-329F-4A82-99EA-CD5476696E28}"/>
              </c:ext>
            </c:extLst>
          </c:dPt>
          <c:dPt>
            <c:idx val="4"/>
            <c:bubble3D val="0"/>
            <c:spPr>
              <a:solidFill>
                <a:srgbClr val="4472C4"/>
              </a:solidFill>
              <a:ln w="27927">
                <a:noFill/>
              </a:ln>
            </c:spPr>
            <c:extLst>
              <c:ext xmlns:c16="http://schemas.microsoft.com/office/drawing/2014/chart" uri="{C3380CC4-5D6E-409C-BE32-E72D297353CC}">
                <c16:uniqueId val="{00000009-329F-4A82-99EA-CD5476696E28}"/>
              </c:ext>
            </c:extLst>
          </c:dPt>
          <c:dLbls>
            <c:dLbl>
              <c:idx val="0"/>
              <c:layout>
                <c:manualLayout>
                  <c:x val="2.3293754731417423E-2"/>
                  <c:y val="-2.64003510893239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9F-4A82-99EA-CD5476696E28}"/>
                </c:ext>
              </c:extLst>
            </c:dLbl>
            <c:dLbl>
              <c:idx val="1"/>
              <c:layout>
                <c:manualLayout>
                  <c:x val="-1.5183277964589308E-2"/>
                  <c:y val="5.2008383896508775E-2"/>
                </c:manualLayout>
              </c:layout>
              <c:tx>
                <c:rich>
                  <a:bodyPr/>
                  <a:lstStyle/>
                  <a:p>
                    <a:fld id="{A1CF84E5-6F3C-49BE-B6AB-F5F5512214D2}" type="VALUE">
                      <a:rPr lang="en-US" smtClean="0"/>
                      <a:pPr/>
                      <a:t>[ЗНАЧЕНИЕ]</a:t>
                    </a:fld>
                    <a:r>
                      <a:rPr lang="en-US" dirty="0" smtClean="0"/>
                      <a:t>,0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29F-4A82-99EA-CD5476696E28}"/>
                </c:ext>
              </c:extLst>
            </c:dLbl>
            <c:dLbl>
              <c:idx val="2"/>
              <c:layout>
                <c:manualLayout>
                  <c:x val="-2.048095914286607E-2"/>
                  <c:y val="8.560533772316388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9F-4A82-99EA-CD5476696E28}"/>
                </c:ext>
              </c:extLst>
            </c:dLbl>
            <c:dLbl>
              <c:idx val="3"/>
              <c:layout>
                <c:manualLayout>
                  <c:x val="-1.1027303520668827E-3"/>
                  <c:y val="-1.9171516603902795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3,0</a:t>
                    </a:r>
                    <a:endParaRPr lang="en-US" dirty="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29F-4A82-99EA-CD5476696E28}"/>
                </c:ext>
              </c:extLst>
            </c:dLbl>
            <c:dLbl>
              <c:idx val="4"/>
              <c:layout>
                <c:manualLayout>
                  <c:x val="1.3085237676378722E-2"/>
                  <c:y val="-1.47098778471377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29F-4A82-99EA-CD5476696E28}"/>
                </c:ext>
              </c:extLst>
            </c:dLbl>
            <c:spPr>
              <a:noFill/>
              <a:ln w="2792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10458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Заработная плата и начисления на нее</c:v>
                </c:pt>
                <c:pt idx="1">
                  <c:v>Трансферты населению</c:v>
                </c:pt>
                <c:pt idx="2">
                  <c:v>Лекарственные средства, изделия медицинского назначения</c:v>
                </c:pt>
                <c:pt idx="3">
                  <c:v>Продукты питания</c:v>
                </c:pt>
                <c:pt idx="4">
                  <c:v>Коммунальные услуги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78.2</c:v>
                </c:pt>
                <c:pt idx="1">
                  <c:v>4</c:v>
                </c:pt>
                <c:pt idx="2">
                  <c:v>1.2</c:v>
                </c:pt>
                <c:pt idx="3">
                  <c:v>3</c:v>
                </c:pt>
                <c:pt idx="4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29F-4A82-99EA-CD5476696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040">
          <a:noFill/>
        </a:ln>
      </c:spPr>
    </c:plotArea>
    <c:legend>
      <c:legendPos val="b"/>
      <c:layout>
        <c:manualLayout>
          <c:xMode val="edge"/>
          <c:yMode val="edge"/>
          <c:x val="0.64067655681718005"/>
          <c:y val="5.3933028045198762E-2"/>
          <c:w val="0.35907877712469038"/>
          <c:h val="0.85346794222699129"/>
        </c:manualLayout>
      </c:layout>
      <c:overlay val="0"/>
      <c:spPr>
        <a:noFill/>
        <a:ln w="2792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053903374762932E-2"/>
          <c:y val="7.9727366953010956E-2"/>
          <c:w val="0.61716500565243604"/>
          <c:h val="0.892705438009084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5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F5D2-4E41-89CA-84A77B9DBB0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F5D2-4E41-89CA-84A77B9DBB05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4-F5D2-4E41-89CA-84A77B9DBB05}"/>
              </c:ext>
            </c:extLst>
          </c:dPt>
          <c:dPt>
            <c:idx val="3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6-F5D2-4E41-89CA-84A77B9DBB05}"/>
              </c:ext>
            </c:extLst>
          </c:dPt>
          <c:dLbls>
            <c:dLbl>
              <c:idx val="0"/>
              <c:layout>
                <c:manualLayout>
                  <c:x val="-0.15302940452755906"/>
                  <c:y val="-0.27545813530065499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5D2-4E41-89CA-84A77B9DBB05}"/>
                </c:ext>
              </c:extLst>
            </c:dLbl>
            <c:dLbl>
              <c:idx val="1"/>
              <c:layout>
                <c:manualLayout>
                  <c:x val="-4.529910464812039E-2"/>
                  <c:y val="9.0292331652892105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5D2-4E41-89CA-84A77B9DBB05}"/>
                </c:ext>
              </c:extLst>
            </c:dLbl>
            <c:dLbl>
              <c:idx val="2"/>
              <c:layout>
                <c:manualLayout>
                  <c:x val="-6.6226136553919984E-2"/>
                  <c:y val="-9.565100365211068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5D2-4E41-89CA-84A77B9DBB05}"/>
                </c:ext>
              </c:extLst>
            </c:dLbl>
            <c:dLbl>
              <c:idx val="3"/>
              <c:layout>
                <c:manualLayout>
                  <c:x val="7.0551010963839547E-2"/>
                  <c:y val="-3.699843170878622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5D2-4E41-89CA-84A77B9DBB05}"/>
                </c:ext>
              </c:extLst>
            </c:dLbl>
            <c:dLbl>
              <c:idx val="4"/>
              <c:layout>
                <c:manualLayout>
                  <c:x val="7.7879969864877996E-2"/>
                  <c:y val="-3.6120386183495085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D2-4E41-89CA-84A77B9DBB05}"/>
                </c:ext>
              </c:extLst>
            </c:dLbl>
            <c:dLbl>
              <c:idx val="5"/>
              <c:layout>
                <c:manualLayout>
                  <c:x val="1.8518518518518517E-2"/>
                  <c:y val="-0.15357770269001317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D2-4E41-89CA-84A77B9DBB05}"/>
                </c:ext>
              </c:extLst>
            </c:dLbl>
            <c:dLbl>
              <c:idx val="6"/>
              <c:layout>
                <c:manualLayout>
                  <c:x val="1.0325167687372412E-2"/>
                  <c:y val="-0.15121842578032565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D2-4E41-89CA-84A77B9DBB05}"/>
                </c:ext>
              </c:extLst>
            </c:dLbl>
            <c:dLbl>
              <c:idx val="7"/>
              <c:layout>
                <c:manualLayout>
                  <c:x val="0.10266714056576261"/>
                  <c:y val="-0.12633024176291321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D2-4E41-89CA-84A77B9DBB05}"/>
                </c:ext>
              </c:extLst>
            </c:dLbl>
            <c:spPr>
              <a:noFill/>
              <a:ln w="28026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solidFill>
                    <a:schemeClr val="tx1"/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Сельское хозяйство, рыбохозяйственная деятельность</c:v>
                </c:pt>
                <c:pt idx="1">
                  <c:v>Транспорт</c:v>
                </c:pt>
                <c:pt idx="2">
                  <c:v>Топливо и энергетика</c:v>
                </c:pt>
                <c:pt idx="3">
                  <c:v>Другая деятельность в области национальной экономики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2678.4</c:v>
                </c:pt>
                <c:pt idx="1">
                  <c:v>130.1</c:v>
                </c:pt>
                <c:pt idx="2">
                  <c:v>129.30000000000001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5D2-4E41-89CA-84A77B9DB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8139"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.70695364621272561"/>
          <c:y val="3.8538426498340599E-2"/>
          <c:w val="0.28378715876374483"/>
          <c:h val="0.90263595149779829"/>
        </c:manualLayout>
      </c:layout>
      <c:overlay val="0"/>
      <c:txPr>
        <a:bodyPr/>
        <a:lstStyle/>
        <a:p>
          <a:pPr>
            <a:defRPr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986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2 923,5</a:t>
            </a:r>
          </a:p>
          <a:p>
            <a:pPr>
              <a:defRPr sz="1200"/>
            </a:pPr>
            <a:r>
              <a:rPr lang="ru-RU" sz="1200" dirty="0" smtClean="0"/>
              <a:t> тыс. рублей</a:t>
            </a:r>
            <a:endParaRPr lang="ru-RU" sz="1200" dirty="0"/>
          </a:p>
        </c:rich>
      </c:tx>
      <c:layout>
        <c:manualLayout>
          <c:xMode val="edge"/>
          <c:yMode val="edge"/>
          <c:x val="0.51195852486491378"/>
          <c:y val="5.01233647979416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190983723719609E-2"/>
          <c:y val="0.18333780478681339"/>
          <c:w val="0.46535818381818295"/>
          <c:h val="0.816662195213186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1266,9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5E9F-4E5C-837A-2E62918B8678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5E9F-4E5C-837A-2E62918B8678}"/>
              </c:ext>
            </c:extLst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E9F-4E5C-837A-2E62918B8678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6-5E9F-4E5C-837A-2E62918B8678}"/>
              </c:ext>
            </c:extLst>
          </c:dPt>
          <c:dPt>
            <c:idx val="6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8-5E9F-4E5C-837A-2E62918B8678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9-5E9F-4E5C-837A-2E62918B8678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A-5E9F-4E5C-837A-2E62918B8678}"/>
              </c:ext>
            </c:extLst>
          </c:dPt>
          <c:dLbls>
            <c:dLbl>
              <c:idx val="0"/>
              <c:layout>
                <c:manualLayout>
                  <c:x val="-0.12020670068175179"/>
                  <c:y val="-0.18370508929760049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 dirty="0" smtClean="0"/>
                      <a:t>1747,7</a:t>
                    </a:r>
                    <a:endParaRPr lang="en-US" sz="1200" b="1" dirty="0"/>
                  </a:p>
                  <a:p>
                    <a:pPr>
                      <a:defRPr sz="1200" b="1"/>
                    </a:pPr>
                    <a:endParaRPr lang="en-US" sz="1200" b="1" dirty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E9F-4E5C-837A-2E62918B8678}"/>
                </c:ext>
              </c:extLst>
            </c:dLbl>
            <c:dLbl>
              <c:idx val="2"/>
              <c:layout>
                <c:manualLayout>
                  <c:x val="-2.974737532808399E-2"/>
                  <c:y val="2.3822112553726085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 dirty="0" smtClean="0"/>
                      <a:t>278,0</a:t>
                    </a:r>
                    <a:endParaRPr lang="en-US" sz="1200" b="1" dirty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E9F-4E5C-837A-2E62918B8678}"/>
                </c:ext>
              </c:extLst>
            </c:dLbl>
            <c:dLbl>
              <c:idx val="3"/>
              <c:layout>
                <c:manualLayout>
                  <c:x val="-5.9786746578134355E-2"/>
                  <c:y val="3.3975788766730505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 dirty="0" smtClean="0"/>
                      <a:t>48,3</a:t>
                    </a:r>
                    <a:endParaRPr lang="en-US" sz="1200" b="1" dirty="0"/>
                  </a:p>
                  <a:p>
                    <a:pPr>
                      <a:defRPr sz="1200" b="1"/>
                    </a:pPr>
                    <a:endParaRPr lang="en-US" sz="1200" b="1" dirty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E9F-4E5C-837A-2E62918B8678}"/>
                </c:ext>
              </c:extLst>
            </c:dLbl>
            <c:dLbl>
              <c:idx val="4"/>
              <c:layout>
                <c:manualLayout>
                  <c:x val="-5.1719735857791585E-3"/>
                  <c:y val="-1.6604768874703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E9F-4E5C-837A-2E62918B8678}"/>
                </c:ext>
              </c:extLst>
            </c:dLbl>
            <c:dLbl>
              <c:idx val="5"/>
              <c:layout>
                <c:manualLayout>
                  <c:x val="-5.7013714952524726E-2"/>
                  <c:y val="-7.4179500396569287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 dirty="0" smtClean="0"/>
                      <a:t>91,8</a:t>
                    </a:r>
                    <a:endParaRPr lang="en-US" sz="1200" b="1" dirty="0"/>
                  </a:p>
                  <a:p>
                    <a:pPr>
                      <a:defRPr sz="1200" b="1"/>
                    </a:pPr>
                    <a:endParaRPr lang="en-US" sz="1200" b="1" dirty="0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E9F-4E5C-837A-2E62918B8678}"/>
                </c:ext>
              </c:extLst>
            </c:dLbl>
            <c:dLbl>
              <c:idx val="6"/>
              <c:layout>
                <c:manualLayout>
                  <c:x val="1.4206003758246478E-2"/>
                  <c:y val="-8.24867773318937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E9F-4E5C-837A-2E62918B8678}"/>
                </c:ext>
              </c:extLst>
            </c:dLbl>
            <c:dLbl>
              <c:idx val="7"/>
              <c:layout>
                <c:manualLayout>
                  <c:x val="4.2058927716908313E-2"/>
                  <c:y val="-2.2208168723949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E9F-4E5C-837A-2E62918B8678}"/>
                </c:ext>
              </c:extLst>
            </c:dLbl>
            <c:spPr>
              <a:noFill/>
              <a:ln w="22963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solidFill>
                    <a:schemeClr val="tx1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субсидирование ЖКХ</c:v>
                </c:pt>
                <c:pt idx="1">
                  <c:v>жилищное строительство</c:v>
                </c:pt>
                <c:pt idx="2">
                  <c:v>уличное освещение</c:v>
                </c:pt>
                <c:pt idx="3">
                  <c:v>текущий ремонт жилфонда</c:v>
                </c:pt>
                <c:pt idx="4">
                  <c:v>капитальный ремонт жилфонда</c:v>
                </c:pt>
                <c:pt idx="5">
                  <c:v>другие вопросы в области ЖКХ</c:v>
                </c:pt>
                <c:pt idx="6">
                  <c:v>придомовые территории</c:v>
                </c:pt>
                <c:pt idx="7">
                  <c:v>ремонт улично-дорожной сети</c:v>
                </c:pt>
                <c:pt idx="8">
                  <c:v>текущее содержание объектов благоустройства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1747.7</c:v>
                </c:pt>
                <c:pt idx="1">
                  <c:v>29</c:v>
                </c:pt>
                <c:pt idx="2">
                  <c:v>278</c:v>
                </c:pt>
                <c:pt idx="3">
                  <c:v>48.3</c:v>
                </c:pt>
                <c:pt idx="4">
                  <c:v>441.8</c:v>
                </c:pt>
                <c:pt idx="5">
                  <c:v>91.8</c:v>
                </c:pt>
                <c:pt idx="6">
                  <c:v>27.6</c:v>
                </c:pt>
                <c:pt idx="7">
                  <c:v>125.9</c:v>
                </c:pt>
                <c:pt idx="8">
                  <c:v>133.4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E9F-4E5C-837A-2E62918B86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3701">
          <a:noFill/>
        </a:ln>
      </c:spPr>
    </c:plotArea>
    <c:legend>
      <c:legendPos val="r"/>
      <c:layout>
        <c:manualLayout>
          <c:xMode val="edge"/>
          <c:yMode val="edge"/>
          <c:x val="0.6631888803561371"/>
          <c:y val="0.18628250649502184"/>
          <c:w val="0.33386029101822656"/>
          <c:h val="0.74710733365137649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627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0.83805</cdr:x>
      <cdr:y>0.03828</cdr:y>
    </cdr:from>
    <cdr:to>
      <cdr:x>0.95276</cdr:x>
      <cdr:y>0.18039</cdr:y>
    </cdr:to>
    <cdr:sp macro="" textlink="">
      <cdr:nvSpPr>
        <cdr:cNvPr id="3" name="TextBox 7">
          <a:extLst xmlns:a="http://schemas.openxmlformats.org/drawingml/2006/main">
            <a:ext uri="{FF2B5EF4-FFF2-40B4-BE49-F238E27FC236}">
              <a16:creationId xmlns:a16="http://schemas.microsoft.com/office/drawing/2014/main" id="{EC654B31-601D-4D07-871C-BFFA1E9B5E1D}"/>
            </a:ext>
          </a:extLst>
        </cdr:cNvPr>
        <cdr:cNvSpPr txBox="1"/>
      </cdr:nvSpPr>
      <cdr:spPr>
        <a:xfrm xmlns:a="http://schemas.openxmlformats.org/drawingml/2006/main">
          <a:off x="5128961" y="103600"/>
          <a:ext cx="702052" cy="384592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65100" prst="coolSlant"/>
        </a:sp3d>
      </cdr:spPr>
      <cdr:style>
        <a:lnRef xmlns:a="http://schemas.openxmlformats.org/drawingml/2006/main" idx="1">
          <a:schemeClr val="accent6"/>
        </a:lnRef>
        <a:fillRef xmlns:a="http://schemas.openxmlformats.org/drawingml/2006/main" idx="3">
          <a:schemeClr val="accent6"/>
        </a:fillRef>
        <a:effectRef xmlns:a="http://schemas.openxmlformats.org/drawingml/2006/main" idx="2">
          <a:schemeClr val="accent6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non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dirty="0"/>
            <a:t>тыс.руб</a:t>
          </a:r>
          <a:r>
            <a:rPr lang="ru-RU" sz="1867" dirty="0"/>
            <a:t>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0.01268</cdr:x>
      <cdr:y>0.1052</cdr:y>
    </cdr:from>
    <cdr:to>
      <cdr:x>0.09964</cdr:x>
      <cdr:y>0.27832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3350" y="5556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0.00141</cdr:x>
      <cdr:y>0.11613</cdr:y>
    </cdr:from>
    <cdr:to>
      <cdr:x>0.08837</cdr:x>
      <cdr:y>0.28926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629" y="353610"/>
          <a:ext cx="532207" cy="527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Иные межбюджетные трансферты</a:t>
          </a:r>
          <a:endParaRPr lang="ru-RU" sz="1100" dirty="0"/>
        </a:p>
      </cdr:txBody>
    </cdr:sp>
  </cdr:relSizeAnchor>
  <cdr:relSizeAnchor xmlns:cdr="http://schemas.openxmlformats.org/drawingml/2006/chartDrawing">
    <cdr:from>
      <cdr:x>0</cdr:x>
      <cdr:y>0.334</cdr:y>
    </cdr:from>
    <cdr:to>
      <cdr:x>0.08696</cdr:x>
      <cdr:y>0.50712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-1078302" y="1129370"/>
          <a:ext cx="538557" cy="585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Собственные доходы</a:t>
          </a:r>
          <a:endParaRPr lang="ru-RU" sz="1100" dirty="0"/>
        </a:p>
      </cdr:txBody>
    </cdr:sp>
  </cdr:relSizeAnchor>
  <cdr:relSizeAnchor xmlns:cdr="http://schemas.openxmlformats.org/drawingml/2006/chartDrawing">
    <cdr:from>
      <cdr:x>0.00182</cdr:x>
      <cdr:y>0.46754</cdr:y>
    </cdr:from>
    <cdr:to>
      <cdr:x>0.08877</cdr:x>
      <cdr:y>0.64066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1287" y="1580942"/>
          <a:ext cx="538494" cy="585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Дотации</a:t>
          </a:r>
          <a:endParaRPr lang="ru-RU" sz="1100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0.40688</cdr:x>
      <cdr:y>0</cdr:y>
    </cdr:from>
    <cdr:to>
      <cdr:x>0.48013</cdr:x>
      <cdr:y>0.16845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79074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т</a:t>
          </a:r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ыс. рублей</a:t>
          </a:r>
          <a:endParaRPr lang="ru-RU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F55B-99A0-4348-B384-82754439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4729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Сытько Екатерина Фёдоровна</dc:creator>
  <cp:keywords/>
  <dc:description/>
  <cp:lastModifiedBy>Сытько Екатерина Фёдоровна</cp:lastModifiedBy>
  <cp:revision>430</cp:revision>
  <cp:lastPrinted>2025-07-31T12:17:00Z</cp:lastPrinted>
  <dcterms:created xsi:type="dcterms:W3CDTF">2022-07-26T13:41:00Z</dcterms:created>
  <dcterms:modified xsi:type="dcterms:W3CDTF">2025-08-05T14:39:00Z</dcterms:modified>
</cp:coreProperties>
</file>